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color w:val="000000"/>
        </w:rPr>
        <w:t>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osnovu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člana</w:t>
      </w:r>
      <w:r w:rsidR="00614EAC" w:rsidRPr="0028097E">
        <w:rPr>
          <w:rFonts w:ascii="Arial" w:hAnsi="Arial" w:cs="Arial"/>
          <w:color w:val="000000"/>
        </w:rPr>
        <w:t xml:space="preserve"> 13. </w:t>
      </w:r>
      <w:r>
        <w:rPr>
          <w:rFonts w:ascii="Arial" w:hAnsi="Arial" w:cs="Arial"/>
          <w:color w:val="000000"/>
        </w:rPr>
        <w:t>stav</w:t>
      </w:r>
      <w:r w:rsidR="00614EAC" w:rsidRPr="0028097E">
        <w:rPr>
          <w:rFonts w:ascii="Arial" w:hAnsi="Arial" w:cs="Arial"/>
          <w:color w:val="000000"/>
        </w:rPr>
        <w:t xml:space="preserve"> 8. </w:t>
      </w:r>
      <w:r>
        <w:rPr>
          <w:rFonts w:ascii="Arial" w:hAnsi="Arial" w:cs="Arial"/>
          <w:color w:val="000000"/>
        </w:rPr>
        <w:t>Zakona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privatnom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obezbeđenju</w:t>
      </w:r>
      <w:r w:rsidR="00614EAC" w:rsidRPr="0028097E">
        <w:rPr>
          <w:rFonts w:ascii="Arial" w:hAnsi="Arial" w:cs="Arial"/>
          <w:color w:val="000000"/>
        </w:rPr>
        <w:t xml:space="preserve"> („</w:t>
      </w:r>
      <w:r>
        <w:rPr>
          <w:rFonts w:ascii="Arial" w:hAnsi="Arial" w:cs="Arial"/>
          <w:color w:val="000000"/>
        </w:rPr>
        <w:t>Službeni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glasnik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RS</w:t>
      </w:r>
      <w:r w:rsidR="00614EAC" w:rsidRPr="0028097E">
        <w:rPr>
          <w:rFonts w:ascii="Arial" w:hAnsi="Arial" w:cs="Arial"/>
          <w:color w:val="000000"/>
        </w:rPr>
        <w:t xml:space="preserve">”, </w:t>
      </w:r>
      <w:r>
        <w:rPr>
          <w:rFonts w:ascii="Arial" w:hAnsi="Arial" w:cs="Arial"/>
          <w:color w:val="000000"/>
        </w:rPr>
        <w:t>br</w:t>
      </w:r>
      <w:r w:rsidR="00614EAC" w:rsidRPr="0028097E">
        <w:rPr>
          <w:rFonts w:ascii="Arial" w:hAnsi="Arial" w:cs="Arial"/>
          <w:color w:val="000000"/>
        </w:rPr>
        <w:t xml:space="preserve">. 104/13, 42/15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87/18),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Ministar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unutrašnjih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donosi</w:t>
      </w:r>
    </w:p>
    <w:p w:rsidR="0028097E" w:rsidRDefault="0028097E">
      <w:pPr>
        <w:spacing w:after="225"/>
        <w:jc w:val="center"/>
        <w:rPr>
          <w:rFonts w:ascii="Arial" w:hAnsi="Arial" w:cs="Arial"/>
          <w:b/>
          <w:color w:val="000000"/>
        </w:rPr>
      </w:pPr>
    </w:p>
    <w:p w:rsidR="00732C2D" w:rsidRPr="0028097E" w:rsidRDefault="00D97BF3">
      <w:pPr>
        <w:spacing w:after="225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PRAVILNIK</w:t>
      </w:r>
    </w:p>
    <w:p w:rsidR="00732C2D" w:rsidRPr="0028097E" w:rsidRDefault="00D97BF3">
      <w:pPr>
        <w:spacing w:after="225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</w:t>
      </w:r>
      <w:r w:rsidR="00614EAC" w:rsidRPr="002809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programima</w:t>
      </w:r>
      <w:r w:rsidR="00614EAC" w:rsidRPr="002809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</w:t>
      </w:r>
      <w:r w:rsidR="00614EAC" w:rsidRPr="002809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načinu</w:t>
      </w:r>
      <w:r w:rsidR="00614EAC" w:rsidRPr="002809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obavlјanja</w:t>
      </w:r>
      <w:r w:rsidR="00614EAC" w:rsidRPr="002809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stručne</w:t>
      </w:r>
      <w:r w:rsidR="00614EAC" w:rsidRPr="002809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obuke</w:t>
      </w:r>
      <w:r w:rsidR="00614EAC" w:rsidRPr="002809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za</w:t>
      </w:r>
      <w:r w:rsidR="00614EAC" w:rsidRPr="002809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vršenje</w:t>
      </w:r>
      <w:r w:rsidR="00614EAC" w:rsidRPr="002809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poslova</w:t>
      </w:r>
      <w:r w:rsidR="00614EAC" w:rsidRPr="002809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privatnog</w:t>
      </w:r>
      <w:r w:rsidR="00614EAC" w:rsidRPr="002809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obezbeđenja</w:t>
      </w:r>
      <w:r w:rsidR="00614EAC" w:rsidRPr="002809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</w:t>
      </w:r>
      <w:r w:rsidR="00614EAC" w:rsidRPr="002809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redarske</w:t>
      </w:r>
      <w:r w:rsidR="00614EAC" w:rsidRPr="002809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službe</w:t>
      </w:r>
    </w:p>
    <w:p w:rsidR="00732C2D" w:rsidRPr="0028097E" w:rsidRDefault="00614EAC">
      <w:pPr>
        <w:spacing w:after="120"/>
        <w:jc w:val="center"/>
        <w:rPr>
          <w:rFonts w:ascii="Arial" w:hAnsi="Arial" w:cs="Arial"/>
        </w:rPr>
      </w:pPr>
      <w:r w:rsidRPr="0028097E">
        <w:rPr>
          <w:rFonts w:ascii="Arial" w:hAnsi="Arial" w:cs="Arial"/>
          <w:color w:val="000000"/>
        </w:rPr>
        <w:t>"</w:t>
      </w:r>
      <w:r w:rsidR="00D97BF3">
        <w:rPr>
          <w:rFonts w:ascii="Arial" w:hAnsi="Arial" w:cs="Arial"/>
          <w:color w:val="000000"/>
        </w:rPr>
        <w:t>Službeni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glasnik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RS</w:t>
      </w:r>
      <w:r w:rsidRPr="0028097E">
        <w:rPr>
          <w:rFonts w:ascii="Arial" w:hAnsi="Arial" w:cs="Arial"/>
          <w:color w:val="000000"/>
        </w:rPr>
        <w:t xml:space="preserve">", </w:t>
      </w:r>
      <w:r w:rsidR="00D97BF3">
        <w:rPr>
          <w:rFonts w:ascii="Arial" w:hAnsi="Arial" w:cs="Arial"/>
          <w:color w:val="000000"/>
        </w:rPr>
        <w:t>broj</w:t>
      </w:r>
      <w:r w:rsidRPr="0028097E">
        <w:rPr>
          <w:rFonts w:ascii="Arial" w:hAnsi="Arial" w:cs="Arial"/>
          <w:color w:val="000000"/>
        </w:rPr>
        <w:t xml:space="preserve"> 15 </w:t>
      </w:r>
      <w:r w:rsidR="00D97BF3">
        <w:rPr>
          <w:rFonts w:ascii="Arial" w:hAnsi="Arial" w:cs="Arial"/>
          <w:color w:val="000000"/>
        </w:rPr>
        <w:t>od</w:t>
      </w:r>
      <w:r w:rsidRPr="0028097E">
        <w:rPr>
          <w:rFonts w:ascii="Arial" w:hAnsi="Arial" w:cs="Arial"/>
          <w:color w:val="000000"/>
        </w:rPr>
        <w:t xml:space="preserve"> 8. </w:t>
      </w:r>
      <w:r w:rsidR="00D97BF3">
        <w:rPr>
          <w:rFonts w:ascii="Arial" w:hAnsi="Arial" w:cs="Arial"/>
          <w:color w:val="000000"/>
        </w:rPr>
        <w:t>marta</w:t>
      </w:r>
      <w:r w:rsidRPr="0028097E">
        <w:rPr>
          <w:rFonts w:ascii="Arial" w:hAnsi="Arial" w:cs="Arial"/>
          <w:color w:val="000000"/>
        </w:rPr>
        <w:t xml:space="preserve"> 2019.</w:t>
      </w:r>
    </w:p>
    <w:p w:rsidR="00732C2D" w:rsidRPr="0028097E" w:rsidRDefault="00D97BF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14EAC" w:rsidRPr="0028097E">
        <w:rPr>
          <w:rFonts w:ascii="Arial" w:hAnsi="Arial" w:cs="Arial"/>
          <w:color w:val="000000"/>
        </w:rPr>
        <w:t xml:space="preserve"> 1.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Ovim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propisuju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programi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način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obavlјanja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stručne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fizičkih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vršenje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privatnog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obezbeđenja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redarske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</w:t>
      </w:r>
      <w:r w:rsidR="00614EAC" w:rsidRPr="0028097E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dalјem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tekstu</w:t>
      </w:r>
      <w:r w:rsidR="00614EAC" w:rsidRPr="0028097E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obuka</w:t>
      </w:r>
      <w:r w:rsidR="00614EAC" w:rsidRPr="0028097E">
        <w:rPr>
          <w:rFonts w:ascii="Arial" w:hAnsi="Arial" w:cs="Arial"/>
          <w:color w:val="000000"/>
        </w:rPr>
        <w:t>).</w:t>
      </w:r>
    </w:p>
    <w:p w:rsidR="00732C2D" w:rsidRPr="0028097E" w:rsidRDefault="00D97BF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14EAC" w:rsidRPr="0028097E">
        <w:rPr>
          <w:rFonts w:ascii="Arial" w:hAnsi="Arial" w:cs="Arial"/>
          <w:color w:val="000000"/>
        </w:rPr>
        <w:t xml:space="preserve"> 2.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Obuka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sprovodi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kroz</w:t>
      </w:r>
      <w:r w:rsidR="00614EAC" w:rsidRPr="0028097E">
        <w:rPr>
          <w:rFonts w:ascii="Arial" w:hAnsi="Arial" w:cs="Arial"/>
          <w:color w:val="000000"/>
        </w:rPr>
        <w:t>:</w:t>
      </w:r>
    </w:p>
    <w:p w:rsidR="00732C2D" w:rsidRPr="0028097E" w:rsidRDefault="00614EAC" w:rsidP="00F86A09">
      <w:pPr>
        <w:spacing w:after="150"/>
        <w:jc w:val="both"/>
        <w:rPr>
          <w:rFonts w:ascii="Arial" w:hAnsi="Arial" w:cs="Arial"/>
        </w:rPr>
      </w:pPr>
      <w:r w:rsidRPr="0028097E">
        <w:rPr>
          <w:rFonts w:ascii="Arial" w:hAnsi="Arial" w:cs="Arial"/>
          <w:color w:val="000000"/>
        </w:rPr>
        <w:t xml:space="preserve">1) </w:t>
      </w:r>
      <w:r w:rsidR="00D97BF3">
        <w:rPr>
          <w:rFonts w:ascii="Arial" w:hAnsi="Arial" w:cs="Arial"/>
          <w:color w:val="000000"/>
        </w:rPr>
        <w:t>Program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obuke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za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vršenje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poslova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procene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rizika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u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zaštiti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lica</w:t>
      </w:r>
      <w:r w:rsidRPr="0028097E">
        <w:rPr>
          <w:rFonts w:ascii="Arial" w:hAnsi="Arial" w:cs="Arial"/>
          <w:color w:val="000000"/>
        </w:rPr>
        <w:t xml:space="preserve">, </w:t>
      </w:r>
      <w:r w:rsidR="00D97BF3">
        <w:rPr>
          <w:rFonts w:ascii="Arial" w:hAnsi="Arial" w:cs="Arial"/>
          <w:color w:val="000000"/>
        </w:rPr>
        <w:t>imovine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i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poslovanja</w:t>
      </w:r>
      <w:r w:rsidRPr="0028097E">
        <w:rPr>
          <w:rFonts w:ascii="Arial" w:hAnsi="Arial" w:cs="Arial"/>
          <w:color w:val="000000"/>
        </w:rPr>
        <w:t>;</w:t>
      </w:r>
    </w:p>
    <w:p w:rsidR="00732C2D" w:rsidRPr="0028097E" w:rsidRDefault="00614EAC" w:rsidP="00F86A09">
      <w:pPr>
        <w:spacing w:after="150"/>
        <w:jc w:val="both"/>
        <w:rPr>
          <w:rFonts w:ascii="Arial" w:hAnsi="Arial" w:cs="Arial"/>
        </w:rPr>
      </w:pPr>
      <w:r w:rsidRPr="0028097E">
        <w:rPr>
          <w:rFonts w:ascii="Arial" w:hAnsi="Arial" w:cs="Arial"/>
          <w:color w:val="000000"/>
        </w:rPr>
        <w:t xml:space="preserve">2) </w:t>
      </w:r>
      <w:r w:rsidR="00D97BF3">
        <w:rPr>
          <w:rFonts w:ascii="Arial" w:hAnsi="Arial" w:cs="Arial"/>
          <w:color w:val="000000"/>
        </w:rPr>
        <w:t>Program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obuke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za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vršenje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poslova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fizičko</w:t>
      </w:r>
      <w:r w:rsidRPr="0028097E">
        <w:rPr>
          <w:rFonts w:ascii="Arial" w:hAnsi="Arial" w:cs="Arial"/>
          <w:color w:val="000000"/>
        </w:rPr>
        <w:t>-</w:t>
      </w:r>
      <w:r w:rsidR="00D97BF3">
        <w:rPr>
          <w:rFonts w:ascii="Arial" w:hAnsi="Arial" w:cs="Arial"/>
          <w:color w:val="000000"/>
        </w:rPr>
        <w:t>tehničke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zaštite</w:t>
      </w:r>
      <w:r w:rsidRPr="0028097E">
        <w:rPr>
          <w:rFonts w:ascii="Arial" w:hAnsi="Arial" w:cs="Arial"/>
          <w:color w:val="000000"/>
        </w:rPr>
        <w:t>;</w:t>
      </w:r>
    </w:p>
    <w:p w:rsidR="00732C2D" w:rsidRPr="0028097E" w:rsidRDefault="00614EAC" w:rsidP="00F86A09">
      <w:pPr>
        <w:spacing w:after="150"/>
        <w:jc w:val="both"/>
        <w:rPr>
          <w:rFonts w:ascii="Arial" w:hAnsi="Arial" w:cs="Arial"/>
        </w:rPr>
      </w:pPr>
      <w:r w:rsidRPr="0028097E">
        <w:rPr>
          <w:rFonts w:ascii="Arial" w:hAnsi="Arial" w:cs="Arial"/>
          <w:color w:val="000000"/>
        </w:rPr>
        <w:t xml:space="preserve">3) </w:t>
      </w:r>
      <w:r w:rsidR="00D97BF3">
        <w:rPr>
          <w:rFonts w:ascii="Arial" w:hAnsi="Arial" w:cs="Arial"/>
          <w:color w:val="000000"/>
        </w:rPr>
        <w:t>Program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obuke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za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vršenje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poslova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redarske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službe</w:t>
      </w:r>
      <w:r w:rsidRPr="0028097E">
        <w:rPr>
          <w:rFonts w:ascii="Arial" w:hAnsi="Arial" w:cs="Arial"/>
          <w:color w:val="000000"/>
        </w:rPr>
        <w:t>;</w:t>
      </w:r>
    </w:p>
    <w:p w:rsidR="00732C2D" w:rsidRPr="0028097E" w:rsidRDefault="00614EAC" w:rsidP="00F86A09">
      <w:pPr>
        <w:spacing w:after="150"/>
        <w:jc w:val="both"/>
        <w:rPr>
          <w:rFonts w:ascii="Arial" w:hAnsi="Arial" w:cs="Arial"/>
        </w:rPr>
      </w:pPr>
      <w:r w:rsidRPr="0028097E">
        <w:rPr>
          <w:rFonts w:ascii="Arial" w:hAnsi="Arial" w:cs="Arial"/>
          <w:color w:val="000000"/>
        </w:rPr>
        <w:t xml:space="preserve">4) </w:t>
      </w:r>
      <w:r w:rsidR="00D97BF3">
        <w:rPr>
          <w:rFonts w:ascii="Arial" w:hAnsi="Arial" w:cs="Arial"/>
          <w:color w:val="000000"/>
        </w:rPr>
        <w:t>Program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obuke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za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vršenje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poslova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planiranja</w:t>
      </w:r>
      <w:r w:rsidRPr="0028097E">
        <w:rPr>
          <w:rFonts w:ascii="Arial" w:hAnsi="Arial" w:cs="Arial"/>
          <w:color w:val="000000"/>
        </w:rPr>
        <w:t xml:space="preserve">, </w:t>
      </w:r>
      <w:r w:rsidR="00D97BF3">
        <w:rPr>
          <w:rFonts w:ascii="Arial" w:hAnsi="Arial" w:cs="Arial"/>
          <w:color w:val="000000"/>
        </w:rPr>
        <w:t>projektovanja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i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nadzora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nad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izvođenjem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sistema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tehničke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zaštite</w:t>
      </w:r>
      <w:r w:rsidRPr="0028097E">
        <w:rPr>
          <w:rFonts w:ascii="Arial" w:hAnsi="Arial" w:cs="Arial"/>
          <w:color w:val="000000"/>
        </w:rPr>
        <w:t>;</w:t>
      </w:r>
    </w:p>
    <w:p w:rsidR="00732C2D" w:rsidRPr="0028097E" w:rsidRDefault="00614EAC" w:rsidP="00F86A09">
      <w:pPr>
        <w:spacing w:after="150"/>
        <w:jc w:val="both"/>
        <w:rPr>
          <w:rFonts w:ascii="Arial" w:hAnsi="Arial" w:cs="Arial"/>
        </w:rPr>
      </w:pPr>
      <w:r w:rsidRPr="0028097E">
        <w:rPr>
          <w:rFonts w:ascii="Arial" w:hAnsi="Arial" w:cs="Arial"/>
          <w:color w:val="000000"/>
        </w:rPr>
        <w:t xml:space="preserve">5) </w:t>
      </w:r>
      <w:r w:rsidR="00D97BF3">
        <w:rPr>
          <w:rFonts w:ascii="Arial" w:hAnsi="Arial" w:cs="Arial"/>
          <w:color w:val="000000"/>
        </w:rPr>
        <w:t>Program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obuke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za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vršenje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poslova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montaže</w:t>
      </w:r>
      <w:r w:rsidRPr="0028097E">
        <w:rPr>
          <w:rFonts w:ascii="Arial" w:hAnsi="Arial" w:cs="Arial"/>
          <w:color w:val="000000"/>
        </w:rPr>
        <w:t xml:space="preserve">, </w:t>
      </w:r>
      <w:r w:rsidR="00D97BF3">
        <w:rPr>
          <w:rFonts w:ascii="Arial" w:hAnsi="Arial" w:cs="Arial"/>
          <w:color w:val="000000"/>
        </w:rPr>
        <w:t>puštanja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u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rad</w:t>
      </w:r>
      <w:r w:rsidRPr="0028097E">
        <w:rPr>
          <w:rFonts w:ascii="Arial" w:hAnsi="Arial" w:cs="Arial"/>
          <w:color w:val="000000"/>
        </w:rPr>
        <w:t xml:space="preserve">, </w:t>
      </w:r>
      <w:r w:rsidR="00D97BF3">
        <w:rPr>
          <w:rFonts w:ascii="Arial" w:hAnsi="Arial" w:cs="Arial"/>
          <w:color w:val="000000"/>
        </w:rPr>
        <w:t>održavanja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sistema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tehničke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zaštite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i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obuke</w:t>
      </w:r>
      <w:r w:rsidRPr="0028097E">
        <w:rPr>
          <w:rFonts w:ascii="Arial" w:hAnsi="Arial" w:cs="Arial"/>
          <w:color w:val="000000"/>
        </w:rPr>
        <w:t xml:space="preserve"> </w:t>
      </w:r>
      <w:r w:rsidR="00D97BF3">
        <w:rPr>
          <w:rFonts w:ascii="Arial" w:hAnsi="Arial" w:cs="Arial"/>
          <w:color w:val="000000"/>
        </w:rPr>
        <w:t>korisnika</w:t>
      </w:r>
      <w:r w:rsidRPr="0028097E">
        <w:rPr>
          <w:rFonts w:ascii="Arial" w:hAnsi="Arial" w:cs="Arial"/>
          <w:color w:val="000000"/>
        </w:rPr>
        <w:t>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Programi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</w:t>
      </w:r>
      <w:r w:rsidR="00614EAC" w:rsidRPr="0028097E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iz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stava</w:t>
      </w:r>
      <w:r w:rsidR="00614EAC" w:rsidRPr="0028097E">
        <w:rPr>
          <w:rFonts w:ascii="Arial" w:hAnsi="Arial" w:cs="Arial"/>
          <w:color w:val="000000"/>
        </w:rPr>
        <w:t xml:space="preserve"> 1. </w:t>
      </w:r>
      <w:r>
        <w:rPr>
          <w:rFonts w:ascii="Arial" w:hAnsi="Arial" w:cs="Arial"/>
          <w:color w:val="000000"/>
        </w:rPr>
        <w:t>ovog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člana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sastoje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više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podelјenih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nastavnim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jedinicama</w:t>
      </w:r>
      <w:r w:rsidR="00614EAC" w:rsidRPr="0028097E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časovima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koji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polazniku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omogućavaju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sticanje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specifičnih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znanja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veština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neophodnih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vršenje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odgovarajuće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vrste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privatnog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obezbeđenja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redarske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Programi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</w:t>
      </w:r>
      <w:r w:rsidR="00614EAC" w:rsidRPr="0028097E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iz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stava</w:t>
      </w:r>
      <w:r w:rsidR="00614EAC" w:rsidRPr="0028097E">
        <w:rPr>
          <w:rFonts w:ascii="Arial" w:hAnsi="Arial" w:cs="Arial"/>
          <w:color w:val="000000"/>
        </w:rPr>
        <w:t xml:space="preserve"> 1. </w:t>
      </w:r>
      <w:r>
        <w:rPr>
          <w:rFonts w:ascii="Arial" w:hAnsi="Arial" w:cs="Arial"/>
          <w:color w:val="000000"/>
        </w:rPr>
        <w:t>ovog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člana</w:t>
      </w:r>
      <w:r w:rsidR="00614EAC" w:rsidRPr="0028097E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Prilog</w:t>
      </w:r>
      <w:r w:rsidR="00614EAC" w:rsidRPr="0028097E">
        <w:rPr>
          <w:rFonts w:ascii="Arial" w:hAnsi="Arial" w:cs="Arial"/>
          <w:color w:val="000000"/>
        </w:rPr>
        <w:t xml:space="preserve"> 1–5) </w:t>
      </w:r>
      <w:r>
        <w:rPr>
          <w:rFonts w:ascii="Arial" w:hAnsi="Arial" w:cs="Arial"/>
          <w:color w:val="000000"/>
        </w:rPr>
        <w:t>odštampani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ovaj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čine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njegov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sastavni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deo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14EAC" w:rsidRPr="0028097E">
        <w:rPr>
          <w:rFonts w:ascii="Arial" w:hAnsi="Arial" w:cs="Arial"/>
          <w:color w:val="000000"/>
        </w:rPr>
        <w:t xml:space="preserve"> 3.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Fizičko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želi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dobije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licencu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vršenje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privatnog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obezbeđenja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redarske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podnosi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prijavu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ovlašćenom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privrednom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društvu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preduzetniku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školskoj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ustanovi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dobila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ovlašćenje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obavlјanje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vršenje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privatnog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obezbeđenja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redarske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</w:t>
      </w:r>
      <w:r w:rsidR="00614EAC" w:rsidRPr="0028097E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dalјem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tekstu</w:t>
      </w:r>
      <w:r w:rsidR="00614EAC" w:rsidRPr="0028097E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organizator</w:t>
      </w:r>
      <w:r w:rsidR="00614EAC" w:rsidRPr="0028097E">
        <w:rPr>
          <w:rFonts w:ascii="Arial" w:hAnsi="Arial" w:cs="Arial"/>
          <w:color w:val="000000"/>
        </w:rPr>
        <w:t>).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Prijava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stručnu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fizičkih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vršenje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privatnog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obezbeđenja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redarske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</w:t>
      </w:r>
      <w:r w:rsidR="00614EAC" w:rsidRPr="0028097E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Obrazac</w:t>
      </w:r>
      <w:r w:rsidR="00614EAC" w:rsidRPr="0028097E">
        <w:rPr>
          <w:rFonts w:ascii="Arial" w:hAnsi="Arial" w:cs="Arial"/>
          <w:color w:val="000000"/>
        </w:rPr>
        <w:t xml:space="preserve"> 1), </w:t>
      </w:r>
      <w:r>
        <w:rPr>
          <w:rFonts w:ascii="Arial" w:hAnsi="Arial" w:cs="Arial"/>
          <w:color w:val="000000"/>
        </w:rPr>
        <w:t>odštampan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ovaj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čini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njegov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sastavni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deo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14EAC" w:rsidRPr="0028097E">
        <w:rPr>
          <w:rFonts w:ascii="Arial" w:hAnsi="Arial" w:cs="Arial"/>
          <w:color w:val="000000"/>
        </w:rPr>
        <w:t xml:space="preserve"> 4.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Organizator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polaznicima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zaklјučuje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pisani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ugovor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sprovođenju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Pravno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preduzetnik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može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organizatorom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zaklјuči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jedan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pisani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ugovor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sprovođenju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više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polaznika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čiji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sastavni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spisak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imenima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polaznika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traženim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vrstama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svakog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polaznika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14EAC" w:rsidRPr="0028097E">
        <w:rPr>
          <w:rFonts w:ascii="Arial" w:hAnsi="Arial" w:cs="Arial"/>
          <w:color w:val="000000"/>
        </w:rPr>
        <w:t xml:space="preserve"> 5.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Organizator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osnovu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pristiglih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prijava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obrazuje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grupu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polaznika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sačinjava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plan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programu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terminima</w:t>
      </w:r>
      <w:r w:rsidR="00614EAC" w:rsidRPr="0028097E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datumu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vremenu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izvođenja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nastavnih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jedinica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Broj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polaznika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grupi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sme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bude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veći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kapaciteta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prostora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sprovodi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obuka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planu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obaveštavaju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podnosioci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prijave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obuku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najkasnije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pet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početka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Plan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spiskom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polaznika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organizator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dostavlјa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policijskoj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upravi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čijoj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teritoriji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sprovodi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obuku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najkasnije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početka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14EAC" w:rsidRPr="0028097E">
        <w:rPr>
          <w:rFonts w:ascii="Arial" w:hAnsi="Arial" w:cs="Arial"/>
          <w:color w:val="000000"/>
        </w:rPr>
        <w:t xml:space="preserve"> 6.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Obuka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službenika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obezbeđenja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redara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sprovodi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način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čas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traje</w:t>
      </w:r>
      <w:r w:rsidR="00614EAC" w:rsidRPr="0028097E">
        <w:rPr>
          <w:rFonts w:ascii="Arial" w:hAnsi="Arial" w:cs="Arial"/>
          <w:color w:val="000000"/>
        </w:rPr>
        <w:t xml:space="preserve"> 45 </w:t>
      </w:r>
      <w:r>
        <w:rPr>
          <w:rFonts w:ascii="Arial" w:hAnsi="Arial" w:cs="Arial"/>
          <w:color w:val="000000"/>
        </w:rPr>
        <w:t>minuta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broj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časova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sme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biti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veći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šest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časova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Časovi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mogu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biti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povezani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dvočas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odmorom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između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dvočasa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najmanje</w:t>
      </w:r>
      <w:r w:rsidR="00614EAC" w:rsidRPr="0028097E"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minuta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Predavač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dužan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okviru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jedne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teme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realizuje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časove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redosledu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određen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planom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programu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temu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dnevniku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evidentira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datum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vreme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obrade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nastavnih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jedinica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prezime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polaznika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odsutan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14EAC" w:rsidRPr="0028097E">
        <w:rPr>
          <w:rFonts w:ascii="Arial" w:hAnsi="Arial" w:cs="Arial"/>
          <w:color w:val="000000"/>
        </w:rPr>
        <w:t xml:space="preserve"> 7.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času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polaznik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dužan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ličnu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kartu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drugu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javnu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ispravu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fotografijom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osnovu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može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utvrditi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njegov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identitet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Polaznici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imaju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uverenje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položenom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stručnom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ispitu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zaštitu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požara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moraju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pohađati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programa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teme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odnose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zaštitu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požara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14EAC" w:rsidRPr="0028097E">
        <w:rPr>
          <w:rFonts w:ascii="Arial" w:hAnsi="Arial" w:cs="Arial"/>
          <w:color w:val="000000"/>
        </w:rPr>
        <w:t xml:space="preserve"> 8.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Polaznik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savladao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ako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prisutan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svim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časovima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predviđenim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programom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(100% </w:t>
      </w:r>
      <w:r>
        <w:rPr>
          <w:rFonts w:ascii="Arial" w:hAnsi="Arial" w:cs="Arial"/>
          <w:color w:val="000000"/>
        </w:rPr>
        <w:t>ukupnog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fonda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časova</w:t>
      </w:r>
      <w:r w:rsidR="00614EAC" w:rsidRPr="0028097E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ako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kontrolnom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testu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koji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najduže</w:t>
      </w:r>
      <w:r w:rsidR="00614EAC" w:rsidRPr="0028097E">
        <w:rPr>
          <w:rFonts w:ascii="Arial" w:hAnsi="Arial" w:cs="Arial"/>
          <w:color w:val="000000"/>
        </w:rPr>
        <w:t xml:space="preserve"> 60 </w:t>
      </w:r>
      <w:r>
        <w:rPr>
          <w:rFonts w:ascii="Arial" w:hAnsi="Arial" w:cs="Arial"/>
          <w:color w:val="000000"/>
        </w:rPr>
        <w:t>minuta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sadrži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najmanje</w:t>
      </w:r>
      <w:r w:rsidR="00614EAC" w:rsidRPr="0028097E">
        <w:rPr>
          <w:rFonts w:ascii="Arial" w:hAnsi="Arial" w:cs="Arial"/>
          <w:color w:val="000000"/>
        </w:rPr>
        <w:t xml:space="preserve"> 25 </w:t>
      </w:r>
      <w:r>
        <w:rPr>
          <w:rFonts w:ascii="Arial" w:hAnsi="Arial" w:cs="Arial"/>
          <w:color w:val="000000"/>
        </w:rPr>
        <w:t>pitanja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programa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stručne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tačno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odgovorio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najmanje</w:t>
      </w:r>
      <w:r w:rsidR="00614EAC" w:rsidRPr="0028097E">
        <w:rPr>
          <w:rFonts w:ascii="Arial" w:hAnsi="Arial" w:cs="Arial"/>
          <w:color w:val="000000"/>
        </w:rPr>
        <w:t xml:space="preserve"> 18 </w:t>
      </w:r>
      <w:r>
        <w:rPr>
          <w:rFonts w:ascii="Arial" w:hAnsi="Arial" w:cs="Arial"/>
          <w:color w:val="000000"/>
        </w:rPr>
        <w:t>pitanja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Polaznik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kontrolni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test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uradi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uspešno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isteku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roka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kraćeg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sedam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dana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ponovo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pristupi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kontrolnom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testu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Ako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polaznik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ponovlјenom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pokušaju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uradi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uspešno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kontrolni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test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upućuje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ponovnu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obuku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Ako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polaznik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sprečen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određenom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prisustvuje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nastavnom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času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predavač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dužan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polazniku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omogući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pohađanje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nastavnog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časa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predmetne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nastavne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jedinice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dopunskom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terminu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što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evidentira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dnevniku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14EAC" w:rsidRPr="0028097E">
        <w:rPr>
          <w:rFonts w:ascii="Arial" w:hAnsi="Arial" w:cs="Arial"/>
          <w:color w:val="000000"/>
        </w:rPr>
        <w:t xml:space="preserve"> 9.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Nakon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uspešno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završene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organizator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polazniku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izdaje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Potvrdu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obučenosti</w:t>
      </w:r>
      <w:r w:rsidR="00614EAC" w:rsidRPr="0028097E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Obrazac</w:t>
      </w:r>
      <w:r w:rsidR="00614EAC" w:rsidRPr="0028097E">
        <w:rPr>
          <w:rFonts w:ascii="Arial" w:hAnsi="Arial" w:cs="Arial"/>
          <w:color w:val="000000"/>
        </w:rPr>
        <w:t xml:space="preserve"> 2), </w:t>
      </w:r>
      <w:r>
        <w:rPr>
          <w:rFonts w:ascii="Arial" w:hAnsi="Arial" w:cs="Arial"/>
          <w:color w:val="000000"/>
        </w:rPr>
        <w:t>koji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odštampan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ovaj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čini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njegov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sastavni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deo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14EAC" w:rsidRPr="0028097E">
        <w:rPr>
          <w:rFonts w:ascii="Arial" w:hAnsi="Arial" w:cs="Arial"/>
          <w:color w:val="000000"/>
        </w:rPr>
        <w:t xml:space="preserve"> 10.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Vežbovna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gađanja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službenike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obezbeđenja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rade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poslovima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obezbeđenja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oružjem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sprovode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saglasno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propisima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uređuje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rukovanju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vatrenim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oružjem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Obuka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vodiča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pasa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dresiranih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pasa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službenike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obezbeđenja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vršenju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koriste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dresirane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pse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sprovodi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skladu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propisima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kinologiji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14EAC" w:rsidRPr="0028097E">
        <w:rPr>
          <w:rFonts w:ascii="Arial" w:hAnsi="Arial" w:cs="Arial"/>
          <w:color w:val="000000"/>
        </w:rPr>
        <w:t xml:space="preserve"> 11.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Organizator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može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posebnom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zahtevu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pravnog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preduzetnika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obavlјaju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delatnost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privatnog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obezbeđenja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vrši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službenika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obezbeđenja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korišćenju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novih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tehnologija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zaštiti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imovine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poslovanja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pojavnim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slučajevima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oblicima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ugrožavanja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imovine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poslovanja</w:t>
      </w:r>
      <w:r w:rsidR="00614EAC" w:rsidRPr="002809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koji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povezani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programima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stručne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utvrđenih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ovim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sprovođenje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pojedinih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odgovarajućih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delova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tih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programa</w:t>
      </w:r>
      <w:r w:rsidR="00614EAC" w:rsidRPr="0028097E">
        <w:rPr>
          <w:rFonts w:ascii="Arial" w:hAnsi="Arial" w:cs="Arial"/>
          <w:color w:val="000000"/>
        </w:rPr>
        <w:t>.</w:t>
      </w:r>
    </w:p>
    <w:p w:rsidR="00732C2D" w:rsidRPr="0028097E" w:rsidRDefault="00D97BF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14EAC" w:rsidRPr="0028097E">
        <w:rPr>
          <w:rFonts w:ascii="Arial" w:hAnsi="Arial" w:cs="Arial"/>
          <w:color w:val="000000"/>
        </w:rPr>
        <w:t xml:space="preserve"> 12.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Danom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stupanja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snagu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ovog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prestaje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važi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programima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načinu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sprovođenja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vršenje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privatnog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obezbeđenja</w:t>
      </w:r>
      <w:r w:rsidR="00614EAC" w:rsidRPr="0028097E">
        <w:rPr>
          <w:rFonts w:ascii="Arial" w:hAnsi="Arial" w:cs="Arial"/>
          <w:color w:val="000000"/>
        </w:rPr>
        <w:t xml:space="preserve"> („</w:t>
      </w:r>
      <w:r>
        <w:rPr>
          <w:rFonts w:ascii="Arial" w:hAnsi="Arial" w:cs="Arial"/>
          <w:color w:val="000000"/>
        </w:rPr>
        <w:t>Službeni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glasnik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RS</w:t>
      </w:r>
      <w:r w:rsidR="00614EAC" w:rsidRPr="0028097E">
        <w:rPr>
          <w:rFonts w:ascii="Arial" w:hAnsi="Arial" w:cs="Arial"/>
          <w:color w:val="000000"/>
        </w:rPr>
        <w:t xml:space="preserve">”, </w:t>
      </w:r>
      <w:r>
        <w:rPr>
          <w:rFonts w:ascii="Arial" w:hAnsi="Arial" w:cs="Arial"/>
          <w:color w:val="000000"/>
        </w:rPr>
        <w:t>broj</w:t>
      </w:r>
      <w:r w:rsidR="00614EAC" w:rsidRPr="0028097E">
        <w:rPr>
          <w:rFonts w:ascii="Arial" w:hAnsi="Arial" w:cs="Arial"/>
          <w:color w:val="000000"/>
        </w:rPr>
        <w:t xml:space="preserve"> 117/14)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programu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načinu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sprovođenja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obuke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obavlјanje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redara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sportskoj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priredbi</w:t>
      </w:r>
      <w:r w:rsidR="00614EAC" w:rsidRPr="0028097E">
        <w:rPr>
          <w:rFonts w:ascii="Arial" w:hAnsi="Arial" w:cs="Arial"/>
          <w:color w:val="000000"/>
        </w:rPr>
        <w:t xml:space="preserve"> („</w:t>
      </w:r>
      <w:r>
        <w:rPr>
          <w:rFonts w:ascii="Arial" w:hAnsi="Arial" w:cs="Arial"/>
          <w:color w:val="000000"/>
        </w:rPr>
        <w:t>Službeni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glasnik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RS</w:t>
      </w:r>
      <w:r w:rsidR="00614EAC" w:rsidRPr="0028097E">
        <w:rPr>
          <w:rFonts w:ascii="Arial" w:hAnsi="Arial" w:cs="Arial"/>
          <w:color w:val="000000"/>
        </w:rPr>
        <w:t xml:space="preserve">”, </w:t>
      </w:r>
      <w:r>
        <w:rPr>
          <w:rFonts w:ascii="Arial" w:hAnsi="Arial" w:cs="Arial"/>
          <w:color w:val="000000"/>
        </w:rPr>
        <w:t>broj</w:t>
      </w:r>
      <w:r w:rsidR="00614EAC" w:rsidRPr="0028097E">
        <w:rPr>
          <w:rFonts w:ascii="Arial" w:hAnsi="Arial" w:cs="Arial"/>
          <w:color w:val="000000"/>
        </w:rPr>
        <w:t xml:space="preserve"> 28/11).</w:t>
      </w:r>
    </w:p>
    <w:p w:rsidR="00732C2D" w:rsidRPr="0028097E" w:rsidRDefault="00D97BF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614EAC" w:rsidRPr="0028097E">
        <w:rPr>
          <w:rFonts w:ascii="Arial" w:hAnsi="Arial" w:cs="Arial"/>
          <w:color w:val="000000"/>
        </w:rPr>
        <w:t xml:space="preserve"> 13.</w:t>
      </w:r>
    </w:p>
    <w:p w:rsidR="00732C2D" w:rsidRPr="0028097E" w:rsidRDefault="00D97BF3" w:rsidP="00F86A09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Ovaj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stupa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snagu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osmog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objavlјivanja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Službenom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glasniku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Republike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Srbije</w:t>
      </w:r>
      <w:r w:rsidR="00614EAC" w:rsidRPr="0028097E">
        <w:rPr>
          <w:rFonts w:ascii="Arial" w:hAnsi="Arial" w:cs="Arial"/>
          <w:color w:val="000000"/>
        </w:rPr>
        <w:t>”.</w:t>
      </w:r>
    </w:p>
    <w:p w:rsidR="00732C2D" w:rsidRPr="0028097E" w:rsidRDefault="00614EAC">
      <w:pPr>
        <w:spacing w:after="150"/>
        <w:jc w:val="right"/>
        <w:rPr>
          <w:rFonts w:ascii="Arial" w:hAnsi="Arial" w:cs="Arial"/>
        </w:rPr>
      </w:pPr>
      <w:r w:rsidRPr="0028097E">
        <w:rPr>
          <w:rFonts w:ascii="Arial" w:hAnsi="Arial" w:cs="Arial"/>
          <w:color w:val="000000"/>
        </w:rPr>
        <w:t xml:space="preserve">01 </w:t>
      </w:r>
      <w:r w:rsidR="00D97BF3">
        <w:rPr>
          <w:rFonts w:ascii="Arial" w:hAnsi="Arial" w:cs="Arial"/>
          <w:color w:val="000000"/>
        </w:rPr>
        <w:t>broj</w:t>
      </w:r>
      <w:r w:rsidRPr="0028097E">
        <w:rPr>
          <w:rFonts w:ascii="Arial" w:hAnsi="Arial" w:cs="Arial"/>
          <w:color w:val="000000"/>
        </w:rPr>
        <w:t xml:space="preserve"> 1042/19-5</w:t>
      </w:r>
    </w:p>
    <w:p w:rsidR="00732C2D" w:rsidRPr="0028097E" w:rsidRDefault="00D97BF3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Beogradu</w:t>
      </w:r>
      <w:r w:rsidR="00614EAC" w:rsidRPr="0028097E">
        <w:rPr>
          <w:rFonts w:ascii="Arial" w:hAnsi="Arial" w:cs="Arial"/>
          <w:color w:val="000000"/>
        </w:rPr>
        <w:t xml:space="preserve">, 1. </w:t>
      </w:r>
      <w:r>
        <w:rPr>
          <w:rFonts w:ascii="Arial" w:hAnsi="Arial" w:cs="Arial"/>
          <w:color w:val="000000"/>
        </w:rPr>
        <w:t>marta</w:t>
      </w:r>
      <w:r w:rsidR="00614EAC" w:rsidRPr="0028097E">
        <w:rPr>
          <w:rFonts w:ascii="Arial" w:hAnsi="Arial" w:cs="Arial"/>
          <w:color w:val="000000"/>
        </w:rPr>
        <w:t xml:space="preserve"> 2019. </w:t>
      </w:r>
      <w:r>
        <w:rPr>
          <w:rFonts w:ascii="Arial" w:hAnsi="Arial" w:cs="Arial"/>
          <w:color w:val="000000"/>
        </w:rPr>
        <w:t>godine</w:t>
      </w:r>
    </w:p>
    <w:p w:rsidR="00732C2D" w:rsidRPr="0028097E" w:rsidRDefault="00D97BF3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Ministar</w:t>
      </w:r>
      <w:r w:rsidR="00614EAC" w:rsidRPr="0028097E">
        <w:rPr>
          <w:rFonts w:ascii="Arial" w:hAnsi="Arial" w:cs="Arial"/>
          <w:color w:val="000000"/>
        </w:rPr>
        <w:t>,</w:t>
      </w:r>
    </w:p>
    <w:p w:rsidR="00732C2D" w:rsidRPr="0028097E" w:rsidRDefault="00D97BF3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dr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Nebojša</w:t>
      </w:r>
      <w:r w:rsidR="00614EAC" w:rsidRPr="002809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Stefanović</w:t>
      </w:r>
      <w:r w:rsidR="00614EAC" w:rsidRPr="0028097E">
        <w:rPr>
          <w:rFonts w:ascii="Arial" w:hAnsi="Arial" w:cs="Arial"/>
          <w:b/>
          <w:color w:val="000000"/>
        </w:rPr>
        <w:t>,</w:t>
      </w:r>
      <w:r w:rsidR="00614EAC" w:rsidRPr="00280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614EAC" w:rsidRPr="0028097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r</w:t>
      </w:r>
      <w:r w:rsidR="00614EAC" w:rsidRPr="0028097E">
        <w:rPr>
          <w:rFonts w:ascii="Arial" w:hAnsi="Arial" w:cs="Arial"/>
          <w:color w:val="000000"/>
        </w:rPr>
        <w:t>.</w:t>
      </w:r>
    </w:p>
    <w:p w:rsidR="00F86A09" w:rsidRPr="0028097E" w:rsidRDefault="00F86A09">
      <w:pPr>
        <w:spacing w:after="150"/>
        <w:jc w:val="right"/>
        <w:rPr>
          <w:rFonts w:ascii="Arial" w:hAnsi="Arial" w:cs="Arial"/>
          <w:color w:val="000000"/>
        </w:rPr>
      </w:pPr>
    </w:p>
    <w:p w:rsidR="00F86A09" w:rsidRPr="0028097E" w:rsidRDefault="00F86A09">
      <w:pPr>
        <w:spacing w:after="150"/>
        <w:jc w:val="right"/>
        <w:rPr>
          <w:rFonts w:ascii="Arial" w:hAnsi="Arial" w:cs="Arial"/>
          <w:color w:val="000000"/>
        </w:rPr>
      </w:pPr>
    </w:p>
    <w:p w:rsidR="00F86A09" w:rsidRPr="0028097E" w:rsidRDefault="00F86A09">
      <w:pPr>
        <w:spacing w:after="150"/>
        <w:jc w:val="right"/>
        <w:rPr>
          <w:rFonts w:ascii="Arial" w:hAnsi="Arial" w:cs="Arial"/>
          <w:color w:val="000000"/>
        </w:rPr>
      </w:pPr>
    </w:p>
    <w:p w:rsidR="00F86A09" w:rsidRPr="0028097E" w:rsidRDefault="00F86A09">
      <w:pPr>
        <w:spacing w:after="150"/>
        <w:jc w:val="right"/>
        <w:rPr>
          <w:rFonts w:ascii="Arial" w:hAnsi="Arial" w:cs="Arial"/>
          <w:color w:val="000000"/>
        </w:rPr>
      </w:pPr>
    </w:p>
    <w:p w:rsidR="00F86A09" w:rsidRPr="0028097E" w:rsidRDefault="00F86A09">
      <w:pPr>
        <w:spacing w:after="150"/>
        <w:jc w:val="right"/>
        <w:rPr>
          <w:rFonts w:ascii="Arial" w:hAnsi="Arial" w:cs="Arial"/>
          <w:color w:val="000000"/>
        </w:rPr>
      </w:pPr>
    </w:p>
    <w:p w:rsidR="00F86A09" w:rsidRDefault="00F86A09">
      <w:pPr>
        <w:spacing w:after="150"/>
        <w:jc w:val="right"/>
        <w:rPr>
          <w:rFonts w:ascii="Arial" w:hAnsi="Arial" w:cs="Arial"/>
          <w:color w:val="000000"/>
        </w:rPr>
      </w:pPr>
    </w:p>
    <w:p w:rsidR="0028097E" w:rsidRDefault="0028097E">
      <w:pPr>
        <w:spacing w:after="150"/>
        <w:jc w:val="right"/>
        <w:rPr>
          <w:rFonts w:ascii="Arial" w:hAnsi="Arial" w:cs="Arial"/>
          <w:color w:val="000000"/>
        </w:rPr>
      </w:pPr>
    </w:p>
    <w:p w:rsidR="0028097E" w:rsidRPr="0028097E" w:rsidRDefault="0028097E">
      <w:pPr>
        <w:spacing w:after="150"/>
        <w:jc w:val="right"/>
        <w:rPr>
          <w:rFonts w:ascii="Arial" w:hAnsi="Arial" w:cs="Arial"/>
          <w:color w:val="000000"/>
        </w:rPr>
      </w:pPr>
    </w:p>
    <w:p w:rsidR="00F86A09" w:rsidRPr="0028097E" w:rsidRDefault="00F86A09">
      <w:pPr>
        <w:spacing w:after="150"/>
        <w:jc w:val="right"/>
        <w:rPr>
          <w:rFonts w:ascii="Arial" w:hAnsi="Arial" w:cs="Arial"/>
          <w:color w:val="000000"/>
        </w:rPr>
      </w:pPr>
    </w:p>
    <w:p w:rsidR="00F86A09" w:rsidRPr="0028097E" w:rsidRDefault="00F86A09">
      <w:pPr>
        <w:spacing w:after="150"/>
        <w:jc w:val="right"/>
        <w:rPr>
          <w:rFonts w:ascii="Arial" w:hAnsi="Arial" w:cs="Arial"/>
          <w:color w:val="000000"/>
        </w:rPr>
      </w:pPr>
    </w:p>
    <w:p w:rsidR="00F86A09" w:rsidRPr="0028097E" w:rsidRDefault="00F86A09">
      <w:pPr>
        <w:spacing w:after="150"/>
        <w:jc w:val="right"/>
        <w:rPr>
          <w:rFonts w:ascii="Arial" w:hAnsi="Arial" w:cs="Arial"/>
          <w:color w:val="000000"/>
        </w:rPr>
      </w:pPr>
    </w:p>
    <w:p w:rsidR="00F86A09" w:rsidRPr="0028097E" w:rsidRDefault="00F86A09">
      <w:pPr>
        <w:spacing w:after="150"/>
        <w:jc w:val="right"/>
        <w:rPr>
          <w:rFonts w:ascii="Arial" w:hAnsi="Arial" w:cs="Arial"/>
          <w:color w:val="000000"/>
        </w:rPr>
      </w:pPr>
    </w:p>
    <w:p w:rsidR="00F86A09" w:rsidRPr="0028097E" w:rsidRDefault="00F86A09">
      <w:pPr>
        <w:spacing w:after="150"/>
        <w:jc w:val="right"/>
        <w:rPr>
          <w:rFonts w:ascii="Arial" w:hAnsi="Arial" w:cs="Arial"/>
          <w:color w:val="000000"/>
        </w:rPr>
      </w:pPr>
    </w:p>
    <w:p w:rsidR="00732C2D" w:rsidRPr="00466751" w:rsidRDefault="00D97BF3">
      <w:pPr>
        <w:spacing w:after="15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Prilozi</w:t>
      </w:r>
    </w:p>
    <w:p w:rsidR="00466751" w:rsidRDefault="00466751" w:rsidP="00E52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u-RU"/>
        </w:rPr>
      </w:pPr>
    </w:p>
    <w:p w:rsidR="00466751" w:rsidRPr="00F92541" w:rsidRDefault="00D97BF3" w:rsidP="00466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Prilog</w:t>
      </w:r>
      <w:r w:rsidR="00466751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1.</w:t>
      </w:r>
    </w:p>
    <w:p w:rsidR="00466751" w:rsidRPr="00F92541" w:rsidRDefault="00466751" w:rsidP="00E52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E523FE" w:rsidRPr="00F92541" w:rsidRDefault="00D97BF3" w:rsidP="00E52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PROGRAM</w:t>
      </w:r>
      <w:r w:rsidR="00E523FE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OBUKE</w:t>
      </w:r>
      <w:r w:rsidR="00E523FE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</w:p>
    <w:p w:rsidR="00E523FE" w:rsidRPr="00F92541" w:rsidRDefault="00D97BF3" w:rsidP="00E52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ZA</w:t>
      </w:r>
      <w:r w:rsidR="00E523FE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PROCENU</w:t>
      </w:r>
      <w:r w:rsidR="00E523FE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RIZIKA</w:t>
      </w:r>
      <w:r w:rsidR="00E523FE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U</w:t>
      </w:r>
      <w:r w:rsidR="00E523FE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ZAŠTITI</w:t>
      </w:r>
      <w:r w:rsidR="00E523FE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LICA</w:t>
      </w:r>
      <w:r w:rsidR="00E523FE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IMOVINE</w:t>
      </w:r>
      <w:r w:rsidR="00E523FE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I</w:t>
      </w:r>
      <w:r w:rsidR="00E523FE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POSLOVANјA</w:t>
      </w:r>
      <w:r w:rsidR="00E523FE" w:rsidRPr="00F92541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3"/>
        <w:gridCol w:w="1569"/>
        <w:gridCol w:w="968"/>
        <w:gridCol w:w="1145"/>
      </w:tblGrid>
      <w:tr w:rsidR="00E523FE" w:rsidRPr="00F92541" w:rsidTr="0028097E">
        <w:trPr>
          <w:trHeight w:val="453"/>
        </w:trPr>
        <w:tc>
          <w:tcPr>
            <w:tcW w:w="3132" w:type="pct"/>
            <w:vMerge w:val="restar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:rsidR="00E523FE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Nastavnih</w:t>
            </w:r>
            <w:r w:rsidR="00E523FE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časova</w:t>
            </w:r>
          </w:p>
        </w:tc>
      </w:tr>
      <w:tr w:rsidR="00E523FE" w:rsidRPr="00F92541" w:rsidTr="0028097E">
        <w:trPr>
          <w:trHeight w:val="300"/>
        </w:trPr>
        <w:tc>
          <w:tcPr>
            <w:tcW w:w="3132" w:type="pct"/>
            <w:vMerge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</w:tcPr>
          <w:p w:rsidR="00E523FE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Predavanje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E523FE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Vežbe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523FE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E523FE" w:rsidRPr="00F92541" w:rsidTr="0028097E">
        <w:trPr>
          <w:trHeight w:val="30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UV</w:t>
            </w:r>
            <w:r w:rsidR="00E523FE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DNI</w:t>
            </w:r>
            <w:r w:rsidR="00E523FE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</w:t>
            </w:r>
            <w:r w:rsidR="00E523FE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523FE" w:rsidRPr="00F92541" w:rsidTr="0028097E">
        <w:trPr>
          <w:trHeight w:val="765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Osnovni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podaci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izvođaču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obuke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buk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či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čin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cilј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buk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pit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nju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zb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zdr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375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1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OJAM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VLj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Nј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RIZIK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OM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RIZIK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523FE" w:rsidRPr="00F92541" w:rsidTr="0028097E">
        <w:trPr>
          <w:trHeight w:val="102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oja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Upr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vlј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nj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F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upr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vlј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nj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F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Principi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a. Te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hnik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a. Me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dž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Kvalitet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procesu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procene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rizika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Komunikacija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30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2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BEZBEDNOST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ORGANIZACIJE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523FE" w:rsidRPr="00F92541" w:rsidTr="0028097E">
        <w:trPr>
          <w:trHeight w:val="795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Pojam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elementi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organizacije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Procesi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organizaciji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Kontekst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organizacije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Izvori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opasnosti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organizaciju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Ugrožavanje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organizacije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Različiti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aspekti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bezbednosti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523FE" w:rsidRPr="00F92541" w:rsidTr="0028097E">
        <w:trPr>
          <w:trHeight w:val="30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3.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C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RIZIK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U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INFORMACIONO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KOMUNIKACIONO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TELEKOMUNIKACIONIM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(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IKT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)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SIS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523FE" w:rsidRPr="00F92541" w:rsidTr="0028097E">
        <w:trPr>
          <w:trHeight w:val="773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oja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žn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IKT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sist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sist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štit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lic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vin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sl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nj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njiv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IKT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sist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štit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IKT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sist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a. 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93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4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VNI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RIZIK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RG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NIZ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A,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Nј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523FE" w:rsidRPr="00F92541" w:rsidTr="0028097E">
        <w:trPr>
          <w:trHeight w:val="1065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Ust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publik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Srbi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je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Zakon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bezbednosti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zdravlјu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na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radu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štiti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ž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dnim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situ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ci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ja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priv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b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zb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đ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nju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li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lica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imovine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poslovanja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podataka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523FE" w:rsidRPr="00F92541" w:rsidTr="0028097E">
        <w:trPr>
          <w:trHeight w:val="60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5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OPŠ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SL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VN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D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US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GL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Š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ND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RDI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523FE" w:rsidRPr="00F92541" w:rsidTr="0028097E">
        <w:trPr>
          <w:trHeight w:val="855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sl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nj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smislu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štit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lic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a,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im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vin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sl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nj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us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š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rdim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pojam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vrste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opasnosti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zahtevi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procenu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kriterijumi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identifikaciju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potencijalnih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opasnosti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mesto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uloga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menadžera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procesu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procene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).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57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ntifik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rizik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pšt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sl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vnih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us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š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rdim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načini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rada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menadžera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na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identifikaciji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).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63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6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PROCENA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RIZIKA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ZB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ZDR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VLj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 ME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OJ 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LINI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523FE" w:rsidRPr="00F92541" w:rsidTr="0028097E">
        <w:trPr>
          <w:trHeight w:val="57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zb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zdr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vlј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oj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lini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(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pojam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vrste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opasnosti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zahtevi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procenu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kriterijumi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identifikaciju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potencijalnih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opasnosti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mesto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uloga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menadžera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procesu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procene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).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57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ntifik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rizik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zb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zdr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vlј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oj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lini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načini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rada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menadžera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na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identifikaciji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).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60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7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 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VNIH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RIZIK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RIZIK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IVPR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Nј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523FE" w:rsidRPr="00F92541" w:rsidTr="0028097E">
        <w:trPr>
          <w:trHeight w:val="57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vn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tivpr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vn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nj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int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rnih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kst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rnih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sub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je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niz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je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pojam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vrste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zahtevi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procenu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kriterijumi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identifikaciju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mesto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uloga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menadžera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proceni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).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855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ntifik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rizik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vnih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tivpr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vn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nj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int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rnih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kst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rnih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sub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je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niz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je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načini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rada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menadžera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na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identifikaciji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).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30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8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RIZIK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Ž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RNIH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523FE" w:rsidRPr="00F92541" w:rsidTr="0028097E">
        <w:trPr>
          <w:trHeight w:val="285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8.1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pojam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vrste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zahtevi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procenu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kriterijumi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identifikaciju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mesto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uloga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menadžera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proceni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). 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285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ntifik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rizik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ž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rnih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načini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rada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menadžera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na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identifikaciji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).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60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9 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RIZIK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RNIH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DRUGIH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Ć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523FE" w:rsidRPr="00F92541" w:rsidTr="0028097E">
        <w:trPr>
          <w:trHeight w:val="285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rnih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drugih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ć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pojam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vrste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zahtevi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procenu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kriterijumi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identifikaciju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mesto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uloga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menadžera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proceni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).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63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ntifik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rizik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rnih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drugih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ć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načini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rada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menadžera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na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identifikaciji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).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60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10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METO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JA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RIZIK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VIN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Nј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4</w:t>
            </w:r>
          </w:p>
        </w:tc>
      </w:tr>
      <w:tr w:rsidR="00E523FE" w:rsidRPr="00F92541" w:rsidTr="0028097E">
        <w:trPr>
          <w:trHeight w:val="285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limin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 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liz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nci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lnih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identifikacija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kriterijumi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određivanje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veličine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opasnosti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upotreba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obrasca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preliminarnu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analizu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opasnosti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).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285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liz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rizik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kriterijumi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određivanje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verovatnoće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učestalosti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izloženosti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ranjivosti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kriterijumi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određivanje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posledica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štete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kritičnosti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kriterijumi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određivanje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nivoa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kriterijumi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određivanje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kategorije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prihvatlјivosti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upotreba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obrazaca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analizu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ocenu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).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285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Postupanje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sa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</w:rPr>
              <w:t>rizi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cima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kriterijumi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upotreba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obrazaca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) 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575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10.4.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Osnovna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struktura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akta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proceni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rizika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zaštiti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lica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imovine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poslovanja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30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="00E523FE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 w:rsidR="00E523FE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</w:t>
            </w:r>
            <w:r w:rsidR="00E523FE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1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523FE" w:rsidRPr="00F92541" w:rsidTr="0028097E">
        <w:trPr>
          <w:trHeight w:val="60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D97BF3" w:rsidP="0028097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štiti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lic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vin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sl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nj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rg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ćim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put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30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="00E523FE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 w:rsidR="00E523FE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</w:t>
            </w:r>
            <w:r w:rsidR="00E523FE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2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" w:type="pct"/>
            <w:vMerge w:val="restar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523FE" w:rsidRPr="00F92541" w:rsidTr="0028097E">
        <w:trPr>
          <w:trHeight w:val="54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D97BF3" w:rsidP="0028097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štiti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lic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vin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sl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nj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rg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niz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ln</w:t>
            </w:r>
            <w:r w:rsidR="00E523FE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o. </w:t>
            </w:r>
          </w:p>
        </w:tc>
        <w:tc>
          <w:tcPr>
            <w:tcW w:w="796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E523FE" w:rsidRPr="00F92541" w:rsidRDefault="00E523FE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3FE" w:rsidRPr="00F92541" w:rsidTr="0028097E">
        <w:trPr>
          <w:trHeight w:val="300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KONTROLNI</w:t>
            </w:r>
            <w:r w:rsidR="00E523FE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796" w:type="pc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81" w:type="pct"/>
            <w:shd w:val="clear" w:color="auto" w:fill="auto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4</w:t>
            </w:r>
          </w:p>
        </w:tc>
      </w:tr>
      <w:tr w:rsidR="00E523FE" w:rsidRPr="00F92541" w:rsidTr="0028097E">
        <w:trPr>
          <w:trHeight w:val="744"/>
        </w:trPr>
        <w:tc>
          <w:tcPr>
            <w:tcW w:w="3132" w:type="pct"/>
            <w:shd w:val="clear" w:color="auto" w:fill="auto"/>
            <w:vAlign w:val="center"/>
          </w:tcPr>
          <w:p w:rsidR="00E523FE" w:rsidRPr="00F92541" w:rsidRDefault="00D97BF3" w:rsidP="002809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r w:rsidR="00E523FE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" w:type="pct"/>
            <w:shd w:val="clear" w:color="auto" w:fill="auto"/>
            <w:noWrap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</w:p>
          <w:p w:rsidR="00E523FE" w:rsidRPr="00F92541" w:rsidRDefault="00E523FE" w:rsidP="002809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3</w:t>
            </w:r>
            <w:r w:rsidRPr="00F92541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6</w:t>
            </w:r>
            <w:r w:rsidRPr="00F92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</w:p>
          <w:p w:rsidR="00E523FE" w:rsidRPr="00F92541" w:rsidRDefault="00E523FE" w:rsidP="002809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6</w:t>
            </w:r>
            <w:r w:rsidRPr="00F92541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4</w:t>
            </w:r>
            <w:r w:rsidRPr="00F92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523FE" w:rsidRPr="00F92541" w:rsidRDefault="00E523FE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6</w:t>
            </w:r>
          </w:p>
        </w:tc>
      </w:tr>
    </w:tbl>
    <w:p w:rsidR="00E523FE" w:rsidRPr="00F92541" w:rsidRDefault="00E523FE" w:rsidP="00E523FE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E523FE" w:rsidRPr="00F92541" w:rsidRDefault="00E523FE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p w:rsidR="0028097E" w:rsidRPr="00F92541" w:rsidRDefault="00D97BF3">
      <w:pPr>
        <w:spacing w:after="15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Prilog</w:t>
      </w:r>
      <w:r w:rsidR="0028097E" w:rsidRPr="00F92541">
        <w:rPr>
          <w:rFonts w:ascii="Arial" w:hAnsi="Arial" w:cs="Arial"/>
          <w:b/>
          <w:sz w:val="20"/>
          <w:szCs w:val="20"/>
          <w:lang w:val="sr-Cyrl-RS"/>
        </w:rPr>
        <w:t xml:space="preserve"> 2.</w:t>
      </w:r>
    </w:p>
    <w:p w:rsidR="00E6533B" w:rsidRPr="00F92541" w:rsidRDefault="00D97BF3" w:rsidP="00E6533B">
      <w:pPr>
        <w:tabs>
          <w:tab w:val="left" w:pos="-56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PROGRAM</w:t>
      </w:r>
      <w:r w:rsidR="00E6533B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OBUKE</w:t>
      </w:r>
      <w:r w:rsidR="00E6533B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ZA</w:t>
      </w:r>
      <w:r w:rsidR="00E6533B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RS"/>
        </w:rPr>
        <w:t>VRŠENјE</w:t>
      </w:r>
      <w:r w:rsidR="00E6533B" w:rsidRPr="00F92541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RS"/>
        </w:rPr>
        <w:t>POSLOVA</w:t>
      </w:r>
      <w:r w:rsidR="00E6533B" w:rsidRPr="00F92541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E6533B" w:rsidRPr="00F92541" w:rsidRDefault="00D97BF3" w:rsidP="00E6533B">
      <w:pPr>
        <w:tabs>
          <w:tab w:val="left" w:pos="-56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RS"/>
        </w:rPr>
        <w:t>FIZIČKO</w:t>
      </w:r>
      <w:r w:rsidR="00E6533B" w:rsidRPr="00F92541">
        <w:rPr>
          <w:rFonts w:ascii="Arial" w:hAnsi="Arial" w:cs="Arial"/>
          <w:b/>
          <w:sz w:val="20"/>
          <w:szCs w:val="20"/>
          <w:lang w:val="sr-Cyrl-RS"/>
        </w:rPr>
        <w:t>-</w:t>
      </w:r>
      <w:r>
        <w:rPr>
          <w:rFonts w:ascii="Arial" w:hAnsi="Arial" w:cs="Arial"/>
          <w:b/>
          <w:sz w:val="20"/>
          <w:szCs w:val="20"/>
          <w:lang w:val="sr-Cyrl-RS"/>
        </w:rPr>
        <w:t>TEHNIČKE</w:t>
      </w:r>
      <w:r w:rsidR="00E6533B" w:rsidRPr="00F92541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RS"/>
        </w:rPr>
        <w:t>ZAŠTITE</w:t>
      </w:r>
      <w:r w:rsidR="00E6533B" w:rsidRPr="00F92541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E6533B" w:rsidRPr="00F92541" w:rsidRDefault="00E6533B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8"/>
        <w:gridCol w:w="1474"/>
        <w:gridCol w:w="1001"/>
        <w:gridCol w:w="1167"/>
      </w:tblGrid>
      <w:tr w:rsidR="00E6533B" w:rsidRPr="00F92541" w:rsidTr="0028097E">
        <w:trPr>
          <w:trHeight w:val="300"/>
        </w:trPr>
        <w:tc>
          <w:tcPr>
            <w:tcW w:w="3184" w:type="pct"/>
            <w:vMerge w:val="restart"/>
            <w:shd w:val="clear" w:color="auto" w:fill="auto"/>
            <w:vAlign w:val="center"/>
          </w:tcPr>
          <w:p w:rsidR="00E6533B" w:rsidRPr="00F92541" w:rsidRDefault="00E6533B" w:rsidP="00E6533B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bookmarkStart w:id="1" w:name="_Toc261624713"/>
            <w:bookmarkStart w:id="2" w:name="_Toc330970072"/>
            <w:bookmarkStart w:id="3" w:name="_Toc330970427"/>
            <w:bookmarkStart w:id="4" w:name="_Toc334858252"/>
            <w:bookmarkStart w:id="5" w:name="_Toc334858467"/>
            <w:bookmarkStart w:id="6" w:name="_Toc334858729"/>
            <w:bookmarkStart w:id="7" w:name="_Toc334858830"/>
            <w:bookmarkStart w:id="8" w:name="_Toc334862839"/>
            <w:bookmarkStart w:id="9" w:name="_Toc375568053"/>
            <w:bookmarkStart w:id="10" w:name="_Toc261624714"/>
            <w:bookmarkStart w:id="11" w:name="_Toc330970073"/>
            <w:bookmarkStart w:id="12" w:name="_Toc330970428"/>
            <w:bookmarkStart w:id="13" w:name="_Toc334858253"/>
            <w:bookmarkStart w:id="14" w:name="_Toc334858468"/>
            <w:bookmarkStart w:id="15" w:name="_Toc334858730"/>
            <w:bookmarkStart w:id="16" w:name="_Toc334858831"/>
            <w:bookmarkStart w:id="17" w:name="_Toc334862840"/>
            <w:bookmarkStart w:id="18" w:name="_Toc375568054"/>
          </w:p>
        </w:tc>
        <w:tc>
          <w:tcPr>
            <w:tcW w:w="1816" w:type="pct"/>
            <w:gridSpan w:val="3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Nastavnih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časova</w:t>
            </w:r>
          </w:p>
        </w:tc>
      </w:tr>
      <w:tr w:rsidR="00E6533B" w:rsidRPr="00F92541" w:rsidTr="0028097E">
        <w:trPr>
          <w:trHeight w:val="300"/>
        </w:trPr>
        <w:tc>
          <w:tcPr>
            <w:tcW w:w="3184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Predavanje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Vežbe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E6533B" w:rsidRPr="00F92541" w:rsidTr="00280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UV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0</w:t>
            </w: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6533B" w:rsidRPr="00F92541" w:rsidTr="00280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Osnovni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podaci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izvođaču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obuke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gr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buk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či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vr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liz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čin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cilј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buk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pit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nju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zb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dn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zdr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33B" w:rsidRPr="00F92541" w:rsidTr="0028097E">
        <w:trPr>
          <w:trHeight w:val="30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TEMA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1.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NORMATIVNO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UREĐENјE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DELATNOSTI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PRIVATNOG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OBEZBEĐENјA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6</w:t>
            </w: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Zakonski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podzakonski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propisi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koji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uređuju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delatnost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privatnog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obezbeđenja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Šifre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delatnosti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privatnog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obezbeđenja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vrste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uslovi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za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sticanje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licenci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za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pravna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lica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preduzetnike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fizička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lica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Kodeks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profesionalne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etike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u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privatnom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obezbeđenju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Profil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službenika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obezbeđenja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Evropska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definicija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službenika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obezbeđenja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koja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je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prihvaćena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u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nacionalnom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standardu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usluga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privatnog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obezbeđenja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).</w:t>
            </w:r>
            <w:r w:rsidR="00E6533B" w:rsidRPr="00F9254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lastRenderedPageBreak/>
              <w:t>Uniforma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oznake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legitimacija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službenika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obezbeđenja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;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Nadzor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nad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radom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evidencije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podataka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Prekršaji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u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obavlјanju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delatnosti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privatnog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obezbeđenja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Osnove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krivičnog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prekršajnog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materijalnog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procesnog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prava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pojam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krivičnog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dela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osnovna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obeležja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krivičnog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dela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vreme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mesto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izvršenja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krivičnog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dela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pojam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krivice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vrste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kazni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krivična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dela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koja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gone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službenoj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dužnosti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nužna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odbrana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krajnja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nužda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obezbeđenje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mesta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krivičnog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dela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ili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događaja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obaveštavanje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policije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drugih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javnih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službi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).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30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OVLAŠĆENјA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SLUŽBENIKA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OBEZBEĐENјA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8</w:t>
            </w:r>
          </w:p>
        </w:tc>
      </w:tr>
      <w:tr w:rsidR="00E6533B" w:rsidRPr="00F92541" w:rsidTr="0028097E">
        <w:trPr>
          <w:trHeight w:val="285"/>
          <w:hidden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E6533B" w:rsidP="00E65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D97BF3" w:rsidP="00E6533B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Izdavanje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upozorenja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ili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naređenja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licu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ili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zabrane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ulaska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boravka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štićenom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objektu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Zakonski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uslovi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način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primene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ovlašćenja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E6533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E6533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E6533B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</w:p>
        </w:tc>
      </w:tr>
      <w:tr w:rsidR="00E6533B" w:rsidRPr="00F92541" w:rsidTr="0028097E">
        <w:trPr>
          <w:trHeight w:val="48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Provera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identiteta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lica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Zakonski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uslovi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način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primene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ovlašćenja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Provera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identiteta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lica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Zakonski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uslovi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način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primene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ovlašćenja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48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Privremeno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zadržavanje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lica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Zakonski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uslovi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način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primene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ovlašćenja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Principi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upotrebe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sredstava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prinude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obaveze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nakon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upotrebe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sredstava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prinude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Upotreba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sredstva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vezivanje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Zakonski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uslovi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ograničenja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način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primene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Upotreba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fizičke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snage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Zakonski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uslovi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ograničenja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način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primene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65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Upotreba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gasnog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spreja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Zakonski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uslovi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ograničenja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način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primene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Upotreba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posebno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dresiranih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pasa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Zakonski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uslovi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ograničenja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način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primene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E6533B" w:rsidRPr="00F92541" w:rsidTr="0028097E">
        <w:trPr>
          <w:trHeight w:val="48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Upotreba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vatrenog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oružja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Zakonski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uslovi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ograničenja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način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primene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30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TEMA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3. 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OBAVLjANјE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DELATNOSTI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PRIVATNOG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OBEZBEĐENјA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6</w:t>
            </w:r>
          </w:p>
        </w:tc>
      </w:tr>
      <w:tr w:rsidR="00E6533B" w:rsidRPr="00F92541" w:rsidTr="0028097E">
        <w:trPr>
          <w:trHeight w:val="285"/>
          <w:hidden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E6533B" w:rsidP="00E653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D97BF3" w:rsidP="00E6533B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Patroliranje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patrole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štićenom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objektu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protivpožarno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patroliranje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taktika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patroliranja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E6533B" w:rsidRPr="00F92541" w:rsidTr="0028097E">
        <w:trPr>
          <w:trHeight w:val="53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Kontrola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pristupa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vrste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kontrole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procedure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kontrole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lica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vozila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Kontrolni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centar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organizacija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način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rada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kontrolnog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centra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kontrolna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soba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radne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procedure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dežurni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patrolni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tim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intervencija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dojavi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alarma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E6533B" w:rsidRPr="00F92541" w:rsidTr="0028097E">
        <w:trPr>
          <w:trHeight w:val="30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OBEZBEĐENјE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JAVNIH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OKUPLjANјA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4</w:t>
            </w:r>
          </w:p>
        </w:tc>
      </w:tr>
      <w:tr w:rsidR="00E6533B" w:rsidRPr="00F92541" w:rsidTr="0028097E">
        <w:trPr>
          <w:trHeight w:val="285"/>
          <w:hidden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E6533B" w:rsidP="00E653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D97BF3" w:rsidP="00E6533B">
            <w:pPr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Poslovi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dužnosti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redarske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službe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javnim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okuplјanjima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Posebne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dužnosti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redarske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službe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sportskim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okuplјanjima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Plan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obezbeđenja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: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izrada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forma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sadržaj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plana</w:t>
            </w:r>
            <w:r w:rsidR="00E6533B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E6533B" w:rsidRPr="00F92541" w:rsidTr="0028097E">
        <w:trPr>
          <w:trHeight w:val="30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 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VREDNOSTI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4</w:t>
            </w:r>
          </w:p>
        </w:tc>
      </w:tr>
      <w:tr w:rsidR="00E6533B" w:rsidRPr="00F92541" w:rsidTr="0028097E">
        <w:trPr>
          <w:trHeight w:val="405"/>
          <w:hidden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E6533B" w:rsidP="00E653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  <w:lang w:val="ru-RU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  <w:lang w:val="ru-RU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  <w:lang w:val="ru-RU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  <w:lang w:val="ru-RU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  <w:lang w:val="ru-RU"/>
              </w:rPr>
            </w:pPr>
          </w:p>
          <w:p w:rsidR="00E6533B" w:rsidRPr="00F92541" w:rsidRDefault="00D97BF3" w:rsidP="00E6533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Prevoz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novca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vrednosnih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drugih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pošilјki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vozilima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Prenos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novca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vrednosnih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drugih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pošilјki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pešice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57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Mere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zaštite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u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poslovanju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gotovim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novcem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vrednostima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koje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preduzimaju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od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strane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finansijskih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organizacija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30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6. 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OPREMA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ZA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OBEZBEĐENјE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4</w:t>
            </w:r>
          </w:p>
        </w:tc>
      </w:tr>
      <w:tr w:rsidR="00E6533B" w:rsidRPr="00F92541" w:rsidTr="0028097E">
        <w:trPr>
          <w:trHeight w:val="285"/>
          <w:hidden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E6533B" w:rsidP="00E653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E6533B" w:rsidRPr="00F92541" w:rsidRDefault="00D97BF3" w:rsidP="00E6533B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Lična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zajednička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oprema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vatreno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oružje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službene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lisice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specijalna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druga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vozila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sredstva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veze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druga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sredstva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oprema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Uređaji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sredstva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sistemi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protivprovalne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zaštite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kontrole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pristupa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elektrohemijske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zaštite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satelitskog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praćenja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integrisani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lastRenderedPageBreak/>
              <w:t>sistemi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fizičko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tehničke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zaštite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33B" w:rsidRPr="00F92541" w:rsidTr="0028097E">
        <w:trPr>
          <w:trHeight w:val="30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TEMA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7.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PROCEDURE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U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VANREDNIM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SITUACIJAMA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</w:p>
        </w:tc>
      </w:tr>
      <w:tr w:rsidR="00E6533B" w:rsidRPr="00F92541" w:rsidTr="0028097E">
        <w:trPr>
          <w:trHeight w:val="285"/>
          <w:hidden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E6533B" w:rsidP="00E653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  <w:lang w:val="ru-RU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  <w:lang w:val="ru-RU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  <w:lang w:val="ru-RU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  <w:lang w:val="ru-RU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  <w:lang w:val="ru-RU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  <w:lang w:val="ru-RU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  <w:lang w:val="ru-RU"/>
              </w:rPr>
            </w:pPr>
          </w:p>
          <w:p w:rsidR="00E6533B" w:rsidRPr="00F92541" w:rsidRDefault="00D97BF3" w:rsidP="00E6533B">
            <w:pPr>
              <w:numPr>
                <w:ilvl w:val="1"/>
                <w:numId w:val="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Vanredne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situacije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pojam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definicija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postupanje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službenika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obezbeđenja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30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8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POŽAR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6533B" w:rsidRPr="00F92541" w:rsidTr="0028097E">
        <w:trPr>
          <w:trHeight w:val="285"/>
          <w:hidden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E6533B" w:rsidP="00E653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E6533B" w:rsidRPr="00F92541" w:rsidRDefault="00D97BF3" w:rsidP="00E6533B">
            <w:pPr>
              <w:numPr>
                <w:ilvl w:val="1"/>
                <w:numId w:val="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Fenomen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požara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Aparati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gašenje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požara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zaštite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požara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Procedure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za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zaštitu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od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požara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30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TEMA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9.   </w:t>
            </w:r>
            <w:r>
              <w:rPr>
                <w:rFonts w:ascii="Arial" w:hAnsi="Arial" w:cs="Arial"/>
                <w:b/>
                <w:sz w:val="20"/>
                <w:szCs w:val="20"/>
              </w:rPr>
              <w:t>KLIJEN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KVALITET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USLUGA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KOMUNIKACIJA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REŠAVANјE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KONFLIKATA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6</w:t>
            </w:r>
          </w:p>
        </w:tc>
      </w:tr>
      <w:tr w:rsidR="00E6533B" w:rsidRPr="00F92541" w:rsidTr="0028097E">
        <w:trPr>
          <w:trHeight w:val="305"/>
          <w:hidden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E6533B" w:rsidP="00E65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  <w:p w:rsidR="00E6533B" w:rsidRPr="00F92541" w:rsidRDefault="00D97BF3" w:rsidP="00E6533B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ophođenja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prema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klijentu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kvalitet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usluga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332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Komunikacione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veštine</w:t>
            </w:r>
            <w:r w:rsidR="00E6533B" w:rsidRPr="00F9254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Izveštaji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službenika</w:t>
            </w:r>
            <w:r w:rsidR="00E6533B" w:rsidRPr="00F9254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obezbeđenja</w:t>
            </w:r>
            <w:r w:rsidR="00E6533B" w:rsidRPr="00F9254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Beležnice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Knjige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događaja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sredstvima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veze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Rešavanje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sukoba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Informisanje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javnosti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Lojalnost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postupanje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uputstvima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timski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rad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33B" w:rsidRPr="00F92541" w:rsidTr="0028097E">
        <w:trPr>
          <w:trHeight w:val="30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PRVA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6533B" w:rsidRPr="00F92541" w:rsidTr="0028097E">
        <w:trPr>
          <w:trHeight w:val="285"/>
          <w:hidden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E6533B" w:rsidP="00E65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vanish/>
                <w:color w:val="000000"/>
                <w:sz w:val="20"/>
                <w:szCs w:val="20"/>
                <w:lang w:val="ru-RU"/>
              </w:rPr>
            </w:pPr>
          </w:p>
          <w:p w:rsidR="00E6533B" w:rsidRPr="00F92541" w:rsidRDefault="00D97BF3" w:rsidP="00E6533B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Osnovi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prve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pomoći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redosled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postupaka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u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pružanju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prve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pomoći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Mere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reanimacije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Uobičajene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povrede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otklanjanje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otkrivanje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uzroka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povređivanja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način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ukazivanja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prve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pomoći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E6533B">
            <w:pPr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Hitna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stanja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način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ukazivanja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prve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pomoći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285"/>
          <w:hidden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E6533B" w:rsidP="00E6533B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vanish/>
                <w:color w:val="000000"/>
                <w:sz w:val="20"/>
                <w:szCs w:val="20"/>
                <w:lang w:val="ru-RU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E6533B" w:rsidP="00E6533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vanish/>
                <w:color w:val="000000"/>
                <w:sz w:val="20"/>
                <w:szCs w:val="20"/>
                <w:lang w:val="sr-Cyrl-CS"/>
              </w:rPr>
            </w:pPr>
          </w:p>
          <w:p w:rsidR="00E6533B" w:rsidRPr="00F92541" w:rsidRDefault="00D97BF3" w:rsidP="00E6533B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Sadržaj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početne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informacije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javnim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službama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u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slučaju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povređivanja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hitnih</w:t>
            </w:r>
            <w:r w:rsidR="00E6533B" w:rsidRPr="00F9254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stanja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6533B" w:rsidRPr="00F92541" w:rsidTr="0028097E">
        <w:trPr>
          <w:trHeight w:val="591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TEMA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11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OBUKA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U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PRIMENI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SREDSTAVA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PRINUDE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I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TEHNIKA</w:t>
            </w:r>
            <w:r w:rsidR="00E6533B" w:rsidRPr="00F9254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SAOMOODBRANE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E6533B" w:rsidP="002809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11.1.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Karate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boks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džudo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stavovi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kretanja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udarci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padovi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bacanja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E6533B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RS"/>
              </w:rPr>
            </w:pP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RS"/>
              </w:rPr>
              <w:t>11.2.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Upotreba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fizičke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snage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zahvati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privođenje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zadržavanje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klјuč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spreda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-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provlačenjem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savijanje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ruke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leđima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-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klјuč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laktu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savlađivanje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pasivnog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otpora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druge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tehnike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33B" w:rsidRPr="00F92541" w:rsidTr="0028097E">
        <w:trPr>
          <w:trHeight w:val="285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E6533B" w:rsidP="002809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3.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Odbrana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od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nenaoružanog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naoružanog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napadača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napad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rukom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nogom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palicom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nožem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pištolјem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gušenje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35" w:type="pct"/>
            <w:vMerge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33B" w:rsidRPr="00F92541" w:rsidTr="0028097E">
        <w:trPr>
          <w:trHeight w:val="390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KONTROLNI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6533B" w:rsidRPr="00F92541" w:rsidRDefault="00E6533B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pc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6533B" w:rsidRPr="00F92541" w:rsidTr="0028097E">
        <w:trPr>
          <w:trHeight w:val="744"/>
        </w:trPr>
        <w:tc>
          <w:tcPr>
            <w:tcW w:w="3184" w:type="pct"/>
            <w:shd w:val="clear" w:color="auto" w:fill="auto"/>
            <w:vAlign w:val="center"/>
          </w:tcPr>
          <w:p w:rsidR="00E6533B" w:rsidRPr="00F92541" w:rsidRDefault="00D97BF3" w:rsidP="002809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r w:rsidR="00E6533B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5</w:t>
            </w:r>
          </w:p>
          <w:p w:rsidR="00E6533B" w:rsidRPr="00F92541" w:rsidRDefault="00E6533B" w:rsidP="002809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28%</w:t>
            </w:r>
          </w:p>
        </w:tc>
        <w:tc>
          <w:tcPr>
            <w:tcW w:w="499" w:type="pct"/>
            <w:shd w:val="clear" w:color="auto" w:fill="auto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6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5</w:t>
            </w:r>
          </w:p>
          <w:p w:rsidR="00E6533B" w:rsidRPr="00F92541" w:rsidRDefault="00E6533B" w:rsidP="002809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72%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6533B" w:rsidRPr="00F92541" w:rsidRDefault="00E6533B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tbl>
    <w:p w:rsidR="00AA700D" w:rsidRPr="00F92541" w:rsidRDefault="00AA700D">
      <w:pPr>
        <w:spacing w:after="150"/>
        <w:rPr>
          <w:rFonts w:ascii="Arial" w:hAnsi="Arial" w:cs="Arial"/>
          <w:sz w:val="20"/>
          <w:szCs w:val="20"/>
        </w:rPr>
      </w:pPr>
    </w:p>
    <w:p w:rsidR="0028097E" w:rsidRPr="00F92541" w:rsidRDefault="0028097E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p w:rsidR="00732C2D" w:rsidRPr="00F92541" w:rsidRDefault="00D97BF3">
      <w:pPr>
        <w:spacing w:after="150"/>
        <w:rPr>
          <w:rStyle w:val="Hyperlink"/>
          <w:rFonts w:ascii="Arial" w:hAnsi="Arial" w:cs="Arial"/>
          <w:b/>
          <w:color w:val="008000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Prilog</w:t>
      </w:r>
      <w:r w:rsidR="0028097E" w:rsidRPr="00F92541">
        <w:rPr>
          <w:rFonts w:ascii="Arial" w:hAnsi="Arial" w:cs="Arial"/>
          <w:b/>
          <w:sz w:val="20"/>
          <w:szCs w:val="20"/>
          <w:lang w:val="sr-Cyrl-RS"/>
        </w:rPr>
        <w:t xml:space="preserve"> 3.</w:t>
      </w:r>
    </w:p>
    <w:p w:rsidR="00A47A9D" w:rsidRPr="00F92541" w:rsidRDefault="00D97BF3" w:rsidP="00F25626">
      <w:pPr>
        <w:spacing w:after="15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PROGRAM</w:t>
      </w:r>
      <w:r w:rsidR="00A47A9D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OBUKE</w:t>
      </w:r>
      <w:r w:rsidR="00A47A9D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ZA</w:t>
      </w:r>
      <w:r w:rsidR="00A47A9D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VRŠENјE</w:t>
      </w:r>
      <w:r w:rsidR="00A47A9D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POSLOVA</w:t>
      </w:r>
      <w:r w:rsidR="00A47A9D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REDARSKE</w:t>
      </w:r>
      <w:r w:rsidR="00A47A9D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SLUŽBE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27"/>
        <w:gridCol w:w="1370"/>
        <w:gridCol w:w="851"/>
        <w:gridCol w:w="1007"/>
      </w:tblGrid>
      <w:tr w:rsidR="00A47A9D" w:rsidRPr="00F92541" w:rsidTr="0028097E">
        <w:trPr>
          <w:trHeight w:val="600"/>
        </w:trPr>
        <w:tc>
          <w:tcPr>
            <w:tcW w:w="3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Nastavnih</w:t>
            </w:r>
            <w:r w:rsidR="00A47A9D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časova</w:t>
            </w:r>
          </w:p>
        </w:tc>
      </w:tr>
      <w:tr w:rsidR="00A47A9D" w:rsidRPr="00F92541" w:rsidTr="0028097E">
        <w:trPr>
          <w:trHeight w:val="300"/>
        </w:trPr>
        <w:tc>
          <w:tcPr>
            <w:tcW w:w="3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A9D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Predavanje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A9D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ežbe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A9D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A47A9D" w:rsidRPr="00F92541" w:rsidTr="0028097E">
        <w:trPr>
          <w:trHeight w:val="30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UV</w:t>
            </w:r>
            <w:r w:rsidR="00A47A9D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A47A9D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A47A9D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47A9D" w:rsidRPr="00F92541" w:rsidTr="0028097E">
        <w:trPr>
          <w:trHeight w:val="765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Osnovni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podaci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izvođaču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obuk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e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gr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buk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či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vr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liz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čin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cilј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buk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pit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nju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zb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dn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zdr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7A9D" w:rsidRPr="00F92541" w:rsidTr="0028097E">
        <w:trPr>
          <w:trHeight w:val="375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TEMA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1. 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PROPISI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IZ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OBLASTI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JAVNOG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OKUPLjANјA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</w:p>
        </w:tc>
      </w:tr>
      <w:tr w:rsidR="00A47A9D" w:rsidRPr="00F92541" w:rsidTr="0028097E">
        <w:trPr>
          <w:trHeight w:val="413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D97BF3" w:rsidP="00A47A9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Zakon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javnom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okuplјanju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Zakon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sprečavanju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nasilјa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nedoličnog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ponašanja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sportskim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priredbama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Zakon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privatnom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obezbeđenju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Pojam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mesto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vreme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javnog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okuplјanja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Organizator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okuplјanja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njegove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obaveze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Mere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sprečavanje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nasilјa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nedoličnog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ponašanja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sportskim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priredbama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dužnosti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organizatora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redarske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službe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sportskim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priredbama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Način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obavlјanja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redarske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službe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od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strane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službenika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obezbeđenja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redara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oznake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redarske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službe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A47A9D" w:rsidRPr="00F92541" w:rsidTr="0028097E">
        <w:trPr>
          <w:trHeight w:val="412"/>
          <w:hidden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A47A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Cs/>
                <w:vanish/>
                <w:color w:val="000000"/>
                <w:sz w:val="20"/>
                <w:szCs w:val="20"/>
                <w:lang w:val="sr-Cyrl-CS"/>
              </w:rPr>
            </w:pPr>
          </w:p>
          <w:p w:rsidR="00A47A9D" w:rsidRPr="00F92541" w:rsidRDefault="00A47A9D" w:rsidP="00A47A9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iCs/>
                <w:vanish/>
                <w:color w:val="000000"/>
                <w:sz w:val="20"/>
                <w:szCs w:val="20"/>
                <w:lang w:val="sr-Cyrl-CS"/>
              </w:rPr>
            </w:pPr>
          </w:p>
          <w:p w:rsidR="00A47A9D" w:rsidRPr="00F92541" w:rsidRDefault="00D97BF3" w:rsidP="00A47A9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Plan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obezbeđenja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način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sačinjavanja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sadržaj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plana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obezbeđenja</w:t>
            </w:r>
            <w:r w:rsidR="00A47A9D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A47A9D" w:rsidRPr="00F92541" w:rsidTr="0028097E">
        <w:trPr>
          <w:trHeight w:val="375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TEMA</w:t>
            </w:r>
            <w:r w:rsidR="00A47A9D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2.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OVLAŠĆENјA</w:t>
            </w:r>
            <w:r w:rsidR="00A47A9D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REDARA</w:t>
            </w:r>
            <w:r w:rsidR="00A47A9D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6</w:t>
            </w:r>
          </w:p>
        </w:tc>
      </w:tr>
      <w:tr w:rsidR="00A47A9D" w:rsidRPr="00F92541" w:rsidTr="0028097E">
        <w:trPr>
          <w:trHeight w:val="78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2.1.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Izdavanje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upozorenja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ili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naređenja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licu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ili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zabrane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ulaska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boravka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štićenom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objektu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Zakonski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uslovi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način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primene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ovlašćenja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A47A9D" w:rsidRPr="00F92541" w:rsidTr="0028097E">
        <w:trPr>
          <w:trHeight w:val="78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2.2.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Provera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identiteta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lica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Zakonski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uslovi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način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primene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ovlašćenja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7A9D" w:rsidRPr="00F92541" w:rsidTr="0028097E">
        <w:trPr>
          <w:trHeight w:val="78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2.3.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Zaustavlјanje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pregled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lica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predmeta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saobraćajnih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sredstava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privremeno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oduzimanje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predmeta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Zakonski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uslovi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način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primene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ovlašćenja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7A9D" w:rsidRPr="00F92541" w:rsidTr="0028097E">
        <w:trPr>
          <w:trHeight w:val="78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2.4.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Privremeno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zadržavanje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lica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Zakonski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uslovi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način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primene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ovlašćenja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7A9D" w:rsidRPr="00F92541" w:rsidTr="0028097E">
        <w:trPr>
          <w:trHeight w:val="78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2.5.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Upotreba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sredstva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prinude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-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fizička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snaga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Zakonski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uslovi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ograničenja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način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primene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obaveze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nakon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upotrebe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sredstva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prinude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7A9D" w:rsidRPr="00F92541" w:rsidTr="0028097E">
        <w:trPr>
          <w:trHeight w:val="371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TEMA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3. 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PRVA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POMOĆ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4</w:t>
            </w:r>
          </w:p>
        </w:tc>
      </w:tr>
      <w:tr w:rsidR="00A47A9D" w:rsidRPr="00F92541" w:rsidTr="0028097E">
        <w:trPr>
          <w:trHeight w:val="78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3.1.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Pružanje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prve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pomoći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Opšti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principi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provera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znakova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života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disajni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putevi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disanje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provera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pulsa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položaj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oživlјavanje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disanje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žrtve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kardiopulmonalna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reanimacij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Latn-CS"/>
              </w:rPr>
              <w:t>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kontrola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zaustavlјanje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krvarenja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imobilizacija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ekstremiteta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rane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opekotine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A47A9D" w:rsidRPr="00F92541" w:rsidTr="0028097E">
        <w:trPr>
          <w:trHeight w:val="485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TEMA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4. 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VANREDNI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DOGAĐAJI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HITNI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SLUČAJEVI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EVAKUACIJA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</w:p>
        </w:tc>
      </w:tr>
      <w:tr w:rsidR="00A47A9D" w:rsidRPr="00F92541" w:rsidTr="0028097E">
        <w:trPr>
          <w:trHeight w:val="78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4.1.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Vanredni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događaji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pojam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definicija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požari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procedure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zaštitu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od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požara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A47A9D" w:rsidRPr="00F92541" w:rsidTr="0028097E">
        <w:trPr>
          <w:trHeight w:val="78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4.2.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Planovi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sprovođenja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mera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vanrednim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događajima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evakuacija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7A9D" w:rsidRPr="00F92541" w:rsidTr="0028097E">
        <w:trPr>
          <w:trHeight w:val="39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TEMA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5. 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OBUKA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U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PRIMENI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SREDSTVA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PRINUDE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FIZIČKE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SNAGE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TEHNIKE</w:t>
            </w:r>
            <w:r w:rsidR="00A47A9D" w:rsidRPr="00F9254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sr-Cyrl-CS"/>
              </w:rPr>
              <w:t>SAMOODBRANE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12</w:t>
            </w:r>
          </w:p>
        </w:tc>
      </w:tr>
      <w:tr w:rsidR="00A47A9D" w:rsidRPr="00F92541" w:rsidTr="0028097E">
        <w:trPr>
          <w:trHeight w:val="278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5.1.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Karate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boks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džudo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stavovi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kretanja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udarci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padovi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bacanja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  <w:p w:rsidR="00A47A9D" w:rsidRPr="00F92541" w:rsidRDefault="00A47A9D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7A9D" w:rsidRPr="00F92541" w:rsidTr="0028097E">
        <w:trPr>
          <w:trHeight w:val="278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5.2.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Upotreba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fizičke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snage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zahvati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privođenje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zadržavanje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klјuč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spreda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-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provlačenjem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savijanje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ruke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leđima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-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klјuč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laktu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savlađivanje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pasivnog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otpora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druge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tehnike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7A9D" w:rsidRPr="00F92541" w:rsidTr="0028097E">
        <w:trPr>
          <w:trHeight w:val="277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5.3.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Odbrana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od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nenaoružanog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naoružanog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napadača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(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napad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rukom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nogom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palicom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nožem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pištolјem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gušenje</w:t>
            </w:r>
            <w:r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7A9D" w:rsidRPr="00F92541" w:rsidTr="0028097E">
        <w:trPr>
          <w:trHeight w:val="277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KONTROLNI</w:t>
            </w:r>
            <w:r w:rsidR="00A47A9D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47A9D" w:rsidRPr="00F92541" w:rsidTr="0028097E">
        <w:trPr>
          <w:trHeight w:val="744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D97BF3" w:rsidP="002809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r w:rsidR="00A47A9D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  <w:p w:rsidR="00A47A9D" w:rsidRPr="00F92541" w:rsidRDefault="00A47A9D" w:rsidP="002809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  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  <w:r w:rsidRPr="00F92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  <w:p w:rsidR="00A47A9D" w:rsidRPr="00F92541" w:rsidRDefault="00A47A9D" w:rsidP="002809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  <w:r w:rsidRPr="00F92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9D" w:rsidRPr="00F92541" w:rsidRDefault="00A47A9D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</w:tbl>
    <w:p w:rsidR="00A47A9D" w:rsidRPr="00F92541" w:rsidRDefault="00A47A9D" w:rsidP="00A47A9D">
      <w:pPr>
        <w:rPr>
          <w:rFonts w:ascii="Arial" w:hAnsi="Arial" w:cs="Arial"/>
          <w:sz w:val="20"/>
          <w:szCs w:val="20"/>
        </w:rPr>
      </w:pPr>
    </w:p>
    <w:p w:rsidR="00AD0E28" w:rsidRPr="00F92541" w:rsidRDefault="00D97BF3">
      <w:pPr>
        <w:spacing w:after="150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lastRenderedPageBreak/>
        <w:t>Prilog</w:t>
      </w:r>
      <w:r w:rsidR="0028097E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4.</w:t>
      </w:r>
    </w:p>
    <w:p w:rsidR="00732C2D" w:rsidRPr="00F92541" w:rsidRDefault="00D97BF3" w:rsidP="00AD0E28">
      <w:pPr>
        <w:spacing w:after="15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PROGRAM</w:t>
      </w:r>
      <w:r w:rsidR="00AD0E28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OBUKE</w:t>
      </w:r>
      <w:r w:rsidR="00AD0E28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ZA</w:t>
      </w:r>
      <w:r w:rsidR="00AD0E28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VRŠENјE</w:t>
      </w:r>
      <w:r w:rsidR="00B04115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POSLOVA</w:t>
      </w:r>
      <w:r w:rsidR="00AD0E28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PLANIRANјA</w:t>
      </w:r>
      <w:r w:rsidR="00AD0E28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PROJEKTOVANјA</w:t>
      </w:r>
      <w:r w:rsidR="00AD0E28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I</w:t>
      </w:r>
      <w:r w:rsidR="00AD0E28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NADZORA</w:t>
      </w:r>
      <w:r w:rsidR="00AD0E28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NAD</w:t>
      </w:r>
      <w:r w:rsidR="00AD0E28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IZVOĐENјEM</w:t>
      </w:r>
      <w:r w:rsidR="00AD0E28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SISTEMA</w:t>
      </w:r>
      <w:r w:rsidR="00AD0E28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TEHNIČKE</w:t>
      </w:r>
      <w:r w:rsidR="00AD0E28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ZAŠTITE</w:t>
      </w:r>
      <w:r w:rsidR="0028097E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I</w:t>
      </w:r>
      <w:r w:rsidR="0028097E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OBUKE</w:t>
      </w:r>
      <w:r w:rsidR="0028097E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KORISNIKA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27"/>
        <w:gridCol w:w="1370"/>
        <w:gridCol w:w="851"/>
        <w:gridCol w:w="1007"/>
      </w:tblGrid>
      <w:tr w:rsidR="00AD0E28" w:rsidRPr="00F92541" w:rsidTr="0028097E">
        <w:trPr>
          <w:trHeight w:val="600"/>
        </w:trPr>
        <w:tc>
          <w:tcPr>
            <w:tcW w:w="3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Nastavnih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časova</w:t>
            </w:r>
          </w:p>
        </w:tc>
      </w:tr>
      <w:tr w:rsidR="00AD0E28" w:rsidRPr="00F92541" w:rsidTr="0028097E">
        <w:trPr>
          <w:trHeight w:val="300"/>
        </w:trPr>
        <w:tc>
          <w:tcPr>
            <w:tcW w:w="3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28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Predavanje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28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ežbe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28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AD0E28" w:rsidRPr="00F92541" w:rsidTr="0028097E">
        <w:trPr>
          <w:trHeight w:val="30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UV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D0E28" w:rsidRPr="00F92541" w:rsidTr="0028097E">
        <w:trPr>
          <w:trHeight w:val="765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Osnovni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podaci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izbođaču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obuk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gr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buk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či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vr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liz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čin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cilј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buk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pit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nju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zb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dn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zdr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E28" w:rsidRPr="00F92541" w:rsidTr="0028097E">
        <w:trPr>
          <w:trHeight w:val="375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TEMA 1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TEHNIČKA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ZAŠTITA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4</w:t>
            </w:r>
          </w:p>
        </w:tc>
      </w:tr>
      <w:tr w:rsidR="00AD0E28" w:rsidRPr="00F92541" w:rsidTr="0028097E">
        <w:trPr>
          <w:trHeight w:val="78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Pojam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tehničke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Kategorije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tehničke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Sredstva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tehničke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tehničke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Kvalitet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sistemu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tehničke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zaštite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E28" w:rsidRPr="00F92541" w:rsidTr="0028097E">
        <w:trPr>
          <w:trHeight w:val="30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2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ŠTIĆENI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OBJEKAT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D0E28" w:rsidRPr="00F92541" w:rsidTr="0028097E">
        <w:trPr>
          <w:trHeight w:val="81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Pojam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štićenog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objekta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Vrste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štićenih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objekata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Karakteristike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štićenih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objekata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Kategorizacija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štićenih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objekata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u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odnosu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nivo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rizika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Ostali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sistemi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štićenom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objektu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Kritične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tačke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E28" w:rsidRPr="00F92541" w:rsidTr="0028097E">
        <w:trPr>
          <w:trHeight w:val="30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3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UGROŽENOST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ŠTIĆENIH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OBJEKATA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D0E28" w:rsidRPr="00F92541" w:rsidTr="0028097E">
        <w:trPr>
          <w:trHeight w:val="64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Pojam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ugroženosti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Izvori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ugrožavanja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Kritične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tačke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Definisanje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kritičnih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tačaka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Analiza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kritičnih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tačaka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Protivpravno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delovanje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Prikuplјanje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podataka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Poslovna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tajna</w:t>
            </w:r>
            <w:r w:rsidR="00AD0E28" w:rsidRPr="00F925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E28" w:rsidRPr="00F92541" w:rsidTr="0028097E">
        <w:trPr>
          <w:trHeight w:val="60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4.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PR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C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NA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RIZIK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U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PLANIRANјU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SISTEMA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TEHNIČKE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ZAŠTITE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D0E28" w:rsidRPr="00F92541" w:rsidTr="0028097E">
        <w:trPr>
          <w:trHeight w:val="901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oja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F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Principi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a. Te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hnik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nu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planiranju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sistema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tehničke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zaštite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Metodologija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procene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Komunikacija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riziku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Elaborat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procene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rizika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E28" w:rsidRPr="00F92541" w:rsidTr="0028097E">
        <w:trPr>
          <w:trHeight w:val="465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TEMA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BEZBEDNOST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U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INFORMACIONIM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KOMUNIKACIONIM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SISTEMIMA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E28" w:rsidRPr="00F92541" w:rsidTr="0028097E">
        <w:trPr>
          <w:trHeight w:val="465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Pojam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informacionih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i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komunikacionih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sistema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Vrste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i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karakteristike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informacionih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i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komunikacionih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sistema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Zatvorene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mreže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Vrste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napada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u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informacionim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i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komunikacionim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sistemima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Sistemi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zaštite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u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informacionim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i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komunikacionim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sistemima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3</w:t>
            </w:r>
          </w:p>
        </w:tc>
      </w:tr>
      <w:tr w:rsidR="00AD0E28" w:rsidRPr="00F92541" w:rsidTr="0028097E">
        <w:trPr>
          <w:trHeight w:val="465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TEMA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DETEKCIJA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NEOVLAŠĆENOG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PRIKUPLjANјA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INFORMACIJA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E28" w:rsidRPr="00F92541" w:rsidTr="0028097E">
        <w:trPr>
          <w:trHeight w:val="465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Vrste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uređaja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za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neovlašćeno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prikuplјanje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informacija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Tehnička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sredstva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za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detekciju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uređaja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za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neovlašćeno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prikuplјanje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informacija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Kompromitujuće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elektromagnetno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zračenje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Faradejevi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kavezi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Ometači</w:t>
            </w:r>
            <w:r w:rsidR="00AD0E28" w:rsidRPr="00F92541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2</w:t>
            </w:r>
          </w:p>
        </w:tc>
      </w:tr>
      <w:tr w:rsidR="00AD0E28" w:rsidRPr="00F92541" w:rsidTr="0028097E">
        <w:trPr>
          <w:trHeight w:val="465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PLANIRANјE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SISTEMA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TEHNIČKE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ZAŠTITE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D0E28" w:rsidRPr="00F92541" w:rsidTr="0028097E">
        <w:trPr>
          <w:trHeight w:val="906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Pojam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planiranja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Vrste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planova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Plan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tehničke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Elementi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plana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tehničke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Plan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integralne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Plan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povezivanja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drugim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tehnološkim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sistemima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veza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u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štićenom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objektu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Integrisanje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različitih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tehničke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Procedure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postupanje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službenika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obezbeđenja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Izrada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propisa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procedura</w:t>
            </w:r>
            <w:r w:rsidR="00AD0E28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28" w:rsidRPr="00F92541" w:rsidRDefault="00AD0E28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D0E28" w:rsidRPr="00F92541" w:rsidTr="0028097E">
        <w:trPr>
          <w:trHeight w:val="30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KONTROLNI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D0E28" w:rsidRPr="00F92541" w:rsidTr="0028097E">
        <w:trPr>
          <w:trHeight w:val="744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8" w:rsidRPr="00F92541" w:rsidRDefault="00D97BF3" w:rsidP="002809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r w:rsidR="00AD0E28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</w:p>
          <w:p w:rsidR="00AD0E28" w:rsidRPr="00F92541" w:rsidRDefault="00AD0E28" w:rsidP="002809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   52%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12</w:t>
            </w:r>
          </w:p>
          <w:p w:rsidR="00AD0E28" w:rsidRPr="00F92541" w:rsidRDefault="00AD0E28" w:rsidP="002809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  48%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E28" w:rsidRPr="00F92541" w:rsidRDefault="00AD0E28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25</w:t>
            </w:r>
          </w:p>
        </w:tc>
      </w:tr>
    </w:tbl>
    <w:p w:rsidR="00903D8E" w:rsidRPr="00F92541" w:rsidRDefault="00903D8E">
      <w:pPr>
        <w:spacing w:after="150"/>
        <w:rPr>
          <w:rFonts w:ascii="Arial" w:hAnsi="Arial" w:cs="Arial"/>
          <w:sz w:val="20"/>
          <w:szCs w:val="20"/>
        </w:rPr>
      </w:pPr>
    </w:p>
    <w:p w:rsidR="0028097E" w:rsidRPr="00F92541" w:rsidRDefault="0028097E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p w:rsidR="0028097E" w:rsidRPr="00337E4B" w:rsidRDefault="00D97BF3">
      <w:pPr>
        <w:spacing w:after="15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Prilog</w:t>
      </w:r>
      <w:r w:rsidR="0028097E" w:rsidRPr="00337E4B">
        <w:rPr>
          <w:rFonts w:ascii="Arial" w:hAnsi="Arial" w:cs="Arial"/>
          <w:b/>
          <w:sz w:val="20"/>
          <w:szCs w:val="20"/>
          <w:lang w:val="sr-Cyrl-RS"/>
        </w:rPr>
        <w:t xml:space="preserve"> 5.</w:t>
      </w:r>
    </w:p>
    <w:p w:rsidR="003B73C1" w:rsidRPr="00F92541" w:rsidRDefault="00D97BF3" w:rsidP="003B73C1">
      <w:pPr>
        <w:spacing w:after="15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lastRenderedPageBreak/>
        <w:t>PROGRAM</w:t>
      </w:r>
      <w:r w:rsidR="003B73C1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OBUKE</w:t>
      </w:r>
      <w:r w:rsidR="003B73C1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ZA</w:t>
      </w:r>
      <w:r w:rsidR="003B73C1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VRŠENјE</w:t>
      </w:r>
      <w:r w:rsidR="003B73C1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POSLOVA</w:t>
      </w:r>
      <w:r w:rsidR="003B73C1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MONTAŽE</w:t>
      </w:r>
      <w:r w:rsidR="00D10631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PUŠTANјA</w:t>
      </w:r>
      <w:r w:rsidR="00D10631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U</w:t>
      </w:r>
      <w:r w:rsidR="00D10631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RAD</w:t>
      </w:r>
      <w:r w:rsidR="003B73C1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I</w:t>
      </w:r>
      <w:r w:rsidR="003B73C1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ODRŽAVANјA</w:t>
      </w:r>
      <w:r w:rsidR="003B73C1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SISTEMA</w:t>
      </w:r>
      <w:r w:rsidR="003B73C1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TEHNIČKE</w:t>
      </w:r>
      <w:r w:rsidR="003B73C1" w:rsidRPr="00F92541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ZAŠTITE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27"/>
        <w:gridCol w:w="1370"/>
        <w:gridCol w:w="851"/>
        <w:gridCol w:w="1007"/>
      </w:tblGrid>
      <w:tr w:rsidR="003B73C1" w:rsidRPr="00F92541" w:rsidTr="0028097E">
        <w:trPr>
          <w:trHeight w:val="300"/>
        </w:trPr>
        <w:tc>
          <w:tcPr>
            <w:tcW w:w="3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bookmarkStart w:id="19" w:name="OLE_LINK5"/>
            <w:bookmarkStart w:id="20" w:name="OLE_LINK6"/>
          </w:p>
        </w:tc>
        <w:tc>
          <w:tcPr>
            <w:tcW w:w="1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Nastavnih</w:t>
            </w:r>
            <w:r w:rsidR="003B73C1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časova</w:t>
            </w:r>
          </w:p>
        </w:tc>
      </w:tr>
      <w:tr w:rsidR="003B73C1" w:rsidRPr="00F92541" w:rsidTr="0028097E">
        <w:trPr>
          <w:trHeight w:val="300"/>
        </w:trPr>
        <w:tc>
          <w:tcPr>
            <w:tcW w:w="3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C1" w:rsidRPr="00F92541" w:rsidRDefault="003B73C1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C1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Predavanje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C1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Vežbe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C1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3B73C1" w:rsidRPr="00F92541" w:rsidTr="0028097E">
        <w:trPr>
          <w:trHeight w:val="30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D97BF3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UV</w:t>
            </w:r>
            <w:r w:rsidR="003B73C1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3B73C1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3B73C1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B73C1" w:rsidRPr="00F92541" w:rsidTr="0028097E">
        <w:trPr>
          <w:trHeight w:val="765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Osnovni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podaci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izvođaču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obuk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>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gr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buk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či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vr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liz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čin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cilј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buk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pit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nju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zb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dn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zdr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g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73C1" w:rsidRPr="00F92541" w:rsidTr="0028097E">
        <w:trPr>
          <w:trHeight w:val="30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3B73C1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1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OBJEKTI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ZAŠTITE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</w:p>
        </w:tc>
      </w:tr>
      <w:tr w:rsidR="003B73C1" w:rsidRPr="00F92541" w:rsidTr="0028097E">
        <w:trPr>
          <w:trHeight w:val="765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Pojam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objekta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Podela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objekata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Identifikacija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bezbednosnih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zona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Definisanje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potencijalnih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pretnji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Pojam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rizika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Klasifikacija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rizika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c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rizik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a.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Primenjeni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standardi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73C1" w:rsidRPr="00F92541" w:rsidTr="0028097E">
        <w:trPr>
          <w:trHeight w:val="30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3B73C1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TEMA 2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SISTEMI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TEHNIČKE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ZAŠTITE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</w:p>
        </w:tc>
      </w:tr>
      <w:tr w:rsidR="003B73C1" w:rsidRPr="00F92541" w:rsidTr="0028097E">
        <w:trPr>
          <w:trHeight w:val="765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Pojam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tehničke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Svojstva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tehničke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Podela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tehničke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Kontrolne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sobe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komunikaciju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napajanje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73C1" w:rsidRPr="00F92541" w:rsidTr="0028097E">
        <w:trPr>
          <w:trHeight w:val="30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3B73C1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3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ZAŠTITA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SPOLjNOG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PERIMETRA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3B73C1" w:rsidRPr="00F92541" w:rsidTr="0028097E">
        <w:trPr>
          <w:trHeight w:val="765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Pojam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barijera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Podela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barijera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Fizičke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barijere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Ograde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Kapije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Zamke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Mehanička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Elektronske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barijere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Detektori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Interfoni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Osvetlјenje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prostora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73C1" w:rsidRPr="00F92541" w:rsidTr="0028097E">
        <w:trPr>
          <w:trHeight w:val="30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3B73C1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4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ALARMNI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SISTEMI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3B73C1" w:rsidRPr="00F92541" w:rsidTr="0028097E">
        <w:trPr>
          <w:trHeight w:val="1275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Pojam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alarmnih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Podela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alarmnih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Protivpožarni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kao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specifični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alarmni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Elementi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alarmnog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Alarmne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centrale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Alarmni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senzori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Indikatori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alarma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Povezivanje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elemenata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alarmnog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dalјinsku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dojavu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alarma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73C1" w:rsidRPr="00F92541" w:rsidTr="0028097E">
        <w:trPr>
          <w:trHeight w:val="30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3B73C1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5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SISTEMI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VIDEO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OBEZBEĐENјA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3B73C1" w:rsidRPr="00F92541" w:rsidTr="0028097E">
        <w:trPr>
          <w:trHeight w:val="102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Pojam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video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obezbeđenja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Podela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video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obezbeđenja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Analogni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video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obezbeđenja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Digitalni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video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obezbeđenja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Elementi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video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obezbeđenja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Kamere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Monitori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arhiviranje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snimaka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Povezivanje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elemenata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video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obezbeđenja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73C1" w:rsidRPr="00F92541" w:rsidTr="0028097E">
        <w:trPr>
          <w:trHeight w:val="30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3B73C1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6. 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SISTEMI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KONTROLU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PRISTUPA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3B73C1" w:rsidRPr="00F92541" w:rsidTr="0028097E">
        <w:trPr>
          <w:trHeight w:val="1275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Pojam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kontrole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pristupa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Vrste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kontrolu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pristupa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Metodi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identifikaciju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Elemeti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kontrolu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pristupa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Elektronske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kartice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Čitači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elektronskih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kartica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Tastature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unos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šifre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Biometrijski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senzori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Baze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podataka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pravima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pristupa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Povezivanje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elemenata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kontrolu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pristupa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3B73C1" w:rsidRPr="00F92541" w:rsidTr="0028097E">
        <w:trPr>
          <w:trHeight w:val="60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3B73C1" w:rsidP="0028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7. 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SISTEMI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TEHNIČKE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ZAŠTITE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U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MOBILNIM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USLOVIMA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3B73C1" w:rsidRPr="00F92541" w:rsidTr="0028097E">
        <w:trPr>
          <w:trHeight w:val="765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D97BF3" w:rsidP="0028097E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Specifičnost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mobilnih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uslova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Vrste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sistema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tehničke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zaštite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koje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se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primenjuju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u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mobilnim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uslovima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Panik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tasteri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Audio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i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video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komunikacija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. GPS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praćenje</w:t>
            </w:r>
            <w:r w:rsidR="003B73C1" w:rsidRPr="00F92541">
              <w:rPr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73C1" w:rsidRPr="00F92541" w:rsidTr="0028097E">
        <w:trPr>
          <w:trHeight w:val="30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D97BF3" w:rsidP="003B73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KONTROLNI</w:t>
            </w:r>
            <w:r w:rsidR="003B73C1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B73C1" w:rsidRPr="00F92541" w:rsidTr="0028097E">
        <w:trPr>
          <w:trHeight w:val="744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C1" w:rsidRPr="00F92541" w:rsidRDefault="00D97BF3" w:rsidP="002809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r w:rsidR="003B73C1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  <w:p w:rsidR="003B73C1" w:rsidRPr="00F92541" w:rsidRDefault="003B73C1" w:rsidP="002809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70%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6</w:t>
            </w:r>
          </w:p>
          <w:p w:rsidR="003B73C1" w:rsidRPr="00F92541" w:rsidRDefault="003B73C1" w:rsidP="002809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30%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3C1" w:rsidRPr="00F92541" w:rsidRDefault="003B73C1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20</w:t>
            </w:r>
          </w:p>
        </w:tc>
      </w:tr>
      <w:bookmarkEnd w:id="19"/>
      <w:bookmarkEnd w:id="20"/>
    </w:tbl>
    <w:p w:rsidR="00436A6A" w:rsidRPr="00F92541" w:rsidRDefault="00436A6A">
      <w:pPr>
        <w:spacing w:after="150"/>
        <w:rPr>
          <w:rFonts w:ascii="Arial" w:hAnsi="Arial" w:cs="Arial"/>
          <w:sz w:val="20"/>
          <w:szCs w:val="20"/>
        </w:rPr>
      </w:pPr>
    </w:p>
    <w:p w:rsidR="0028097E" w:rsidRPr="00F92541" w:rsidRDefault="0028097E">
      <w:pPr>
        <w:spacing w:after="150"/>
        <w:rPr>
          <w:rFonts w:ascii="Arial" w:hAnsi="Arial" w:cs="Arial"/>
          <w:sz w:val="20"/>
          <w:szCs w:val="20"/>
        </w:rPr>
      </w:pPr>
    </w:p>
    <w:p w:rsidR="0028097E" w:rsidRPr="00F92541" w:rsidRDefault="00D97BF3">
      <w:pPr>
        <w:spacing w:after="15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Obrazac</w:t>
      </w:r>
      <w:r w:rsidR="0028097E" w:rsidRPr="00F92541">
        <w:rPr>
          <w:rFonts w:ascii="Arial" w:hAnsi="Arial" w:cs="Arial"/>
          <w:b/>
          <w:sz w:val="20"/>
          <w:szCs w:val="20"/>
          <w:lang w:val="sr-Cyrl-RS"/>
        </w:rPr>
        <w:t xml:space="preserve"> 1.</w:t>
      </w:r>
    </w:p>
    <w:p w:rsidR="0028097E" w:rsidRPr="00F92541" w:rsidRDefault="00D97BF3" w:rsidP="0028097E">
      <w:pPr>
        <w:spacing w:after="150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>PRI</w:t>
      </w:r>
      <w:r w:rsidR="0028097E" w:rsidRPr="00F92541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>JA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>V</w:t>
      </w:r>
      <w:r w:rsidR="0028097E" w:rsidRPr="00F92541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 xml:space="preserve">A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>Z</w:t>
      </w:r>
      <w:r w:rsidR="0028097E" w:rsidRPr="00F92541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 xml:space="preserve">A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>STRUČNU</w:t>
      </w:r>
      <w:r w:rsidR="0028097E" w:rsidRPr="00F92541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>OBUKU</w:t>
      </w:r>
      <w:r w:rsidR="0028097E" w:rsidRPr="00F92541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>FIZIČKIH</w:t>
      </w:r>
      <w:r w:rsidR="0028097E" w:rsidRPr="00F92541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>LICA</w:t>
      </w:r>
      <w:r w:rsidR="0028097E" w:rsidRPr="00F92541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>ZA</w:t>
      </w:r>
      <w:r w:rsidR="0028097E" w:rsidRPr="00F92541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>VRŠENјE</w:t>
      </w:r>
      <w:r w:rsidR="0028097E" w:rsidRPr="00F92541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>POSLOVA</w:t>
      </w:r>
      <w:r w:rsidR="0028097E" w:rsidRPr="00F92541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>PRIVATNOG</w:t>
      </w:r>
      <w:r w:rsidR="0028097E" w:rsidRPr="00F92541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>OBEZBEĐENјA</w:t>
      </w:r>
      <w:r w:rsidR="0028097E" w:rsidRPr="00F92541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>I</w:t>
      </w:r>
      <w:r w:rsidR="0028097E" w:rsidRPr="00F92541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>REDARSKE</w:t>
      </w:r>
      <w:r w:rsidR="0028097E" w:rsidRPr="00F92541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sr-Cyrl-RS"/>
        </w:rPr>
        <w:t>SLUŽBE</w:t>
      </w:r>
    </w:p>
    <w:tbl>
      <w:tblPr>
        <w:tblW w:w="4530" w:type="pct"/>
        <w:jc w:val="center"/>
        <w:tblInd w:w="-104" w:type="dxa"/>
        <w:tblLook w:val="00A0" w:firstRow="1" w:lastRow="0" w:firstColumn="1" w:lastColumn="0" w:noHBand="0" w:noVBand="0"/>
      </w:tblPr>
      <w:tblGrid>
        <w:gridCol w:w="4208"/>
        <w:gridCol w:w="998"/>
        <w:gridCol w:w="2750"/>
        <w:gridCol w:w="973"/>
      </w:tblGrid>
      <w:tr w:rsidR="00760FF6" w:rsidRPr="00F92541" w:rsidTr="0028097E">
        <w:trPr>
          <w:trHeight w:val="285"/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D97BF3" w:rsidP="0028097E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lastRenderedPageBreak/>
              <w:t>Pr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zim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i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im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k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ndid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t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760FF6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 </w:t>
            </w:r>
          </w:p>
        </w:tc>
      </w:tr>
      <w:tr w:rsidR="00760FF6" w:rsidRPr="00F92541" w:rsidTr="0028097E">
        <w:trPr>
          <w:trHeight w:val="285"/>
          <w:jc w:val="center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760FF6" w:rsidP="0028097E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s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 (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st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o,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ulic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a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br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oj)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760FF6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</w:t>
            </w:r>
          </w:p>
        </w:tc>
      </w:tr>
      <w:tr w:rsidR="00760FF6" w:rsidRPr="00F92541" w:rsidTr="0028097E">
        <w:trPr>
          <w:trHeight w:val="285"/>
          <w:jc w:val="center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D97BF3" w:rsidP="0028097E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tum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i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st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r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đ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nj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760FF6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 </w:t>
            </w:r>
          </w:p>
        </w:tc>
      </w:tr>
      <w:tr w:rsidR="00760FF6" w:rsidRPr="00F92541" w:rsidTr="0028097E">
        <w:trPr>
          <w:trHeight w:val="285"/>
          <w:jc w:val="center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D97BF3" w:rsidP="0028097E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K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nt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kt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t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l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f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ni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k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ndid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t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760FF6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 </w:t>
            </w:r>
          </w:p>
        </w:tc>
      </w:tr>
      <w:tr w:rsidR="00760FF6" w:rsidRPr="00F92541" w:rsidTr="0028097E">
        <w:trPr>
          <w:trHeight w:val="285"/>
          <w:jc w:val="center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760FF6" w:rsidP="0028097E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E-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m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il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k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ndid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t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760FF6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 </w:t>
            </w:r>
          </w:p>
        </w:tc>
      </w:tr>
      <w:tr w:rsidR="00760FF6" w:rsidRPr="00F92541" w:rsidTr="0028097E">
        <w:trPr>
          <w:trHeight w:val="3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D97BF3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Prijavlјujem</w:t>
            </w:r>
            <w:r w:rsidR="00760FF6" w:rsidRPr="00F92541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se</w:t>
            </w:r>
            <w:r w:rsidR="00760FF6" w:rsidRPr="00F92541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za</w:t>
            </w:r>
            <w:r w:rsidR="00760FF6" w:rsidRPr="00F92541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obuku</w:t>
            </w:r>
            <w:r w:rsidR="00760FF6" w:rsidRPr="00F92541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za</w:t>
            </w:r>
            <w:r w:rsidR="00760FF6" w:rsidRPr="00F92541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vršenja</w:t>
            </w:r>
            <w:r w:rsidR="00760FF6" w:rsidRPr="00F92541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poslova</w:t>
            </w:r>
            <w:r w:rsidR="00760FF6" w:rsidRPr="00F92541">
              <w:rPr>
                <w:rFonts w:ascii="Arial" w:hAnsi="Arial" w:cs="Arial"/>
                <w:b/>
                <w:color w:val="000000"/>
                <w:sz w:val="20"/>
                <w:szCs w:val="20"/>
                <w:lang w:val="sr-Cyrl-CS" w:eastAsia="sr-Latn-CS"/>
              </w:rPr>
              <w:t>:</w:t>
            </w:r>
          </w:p>
        </w:tc>
      </w:tr>
      <w:tr w:rsidR="00760FF6" w:rsidRPr="00F92541" w:rsidTr="00F92541">
        <w:trPr>
          <w:trHeight w:val="1953"/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760FF6" w:rsidP="002809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CS" w:eastAsia="sr-Latn-CS"/>
              </w:rPr>
            </w:pPr>
            <w:r w:rsidRPr="00F9254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1) </w:t>
            </w:r>
            <w:r w:rsidR="00D97BF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P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rogram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obuke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za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vršenje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poslova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procene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rizika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u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zaštiti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lica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,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imovine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i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poslovanja</w:t>
            </w:r>
            <w:r w:rsidRPr="00F9254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;</w:t>
            </w:r>
          </w:p>
          <w:p w:rsidR="00760FF6" w:rsidRPr="00F92541" w:rsidRDefault="00760FF6" w:rsidP="002809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  <w:r w:rsidRPr="00F9254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2)</w:t>
            </w:r>
            <w:r w:rsidR="00D97BF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P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rogram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obuke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za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vršenje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poslova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fizičko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-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tehničke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zaštite</w:t>
            </w:r>
            <w:r w:rsidRPr="00F92541">
              <w:rPr>
                <w:rFonts w:ascii="Arial" w:hAnsi="Arial" w:cs="Arial"/>
                <w:bCs/>
                <w:sz w:val="20"/>
                <w:szCs w:val="20"/>
                <w:lang w:val="ru-RU" w:eastAsia="sr-Latn-CS"/>
              </w:rPr>
              <w:t>;</w:t>
            </w:r>
          </w:p>
          <w:p w:rsidR="00760FF6" w:rsidRPr="00F92541" w:rsidRDefault="00760FF6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F9254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3) </w:t>
            </w:r>
            <w:r w:rsidR="00D97BF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Program</w:t>
            </w:r>
            <w:r w:rsidRPr="00F9254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obuke</w:t>
            </w:r>
            <w:r w:rsidRPr="00F9254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za</w:t>
            </w:r>
            <w:r w:rsidRPr="00F9254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vršenje</w:t>
            </w:r>
            <w:r w:rsidRPr="00F9254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poslova</w:t>
            </w:r>
            <w:r w:rsidRPr="00F9254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redarske</w:t>
            </w:r>
            <w:r w:rsidRPr="00F9254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službe</w:t>
            </w:r>
            <w:r w:rsidRPr="00F9254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;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760FF6" w:rsidP="002809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RS" w:eastAsia="sr-Latn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RS" w:eastAsia="sr-Latn-CS"/>
              </w:rPr>
              <w:t>4)</w:t>
            </w:r>
            <w:r w:rsidRPr="00F9254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P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rogram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obuke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za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vršenje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poslova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planiranja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,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projektovanja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i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nadzora</w:t>
            </w:r>
            <w:r w:rsidRPr="00F9254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nad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izvođenjem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sistema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tehničke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zaštite</w:t>
            </w:r>
            <w:r w:rsidRPr="00F9254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;</w:t>
            </w:r>
          </w:p>
          <w:p w:rsidR="00760FF6" w:rsidRPr="00F92541" w:rsidRDefault="00760FF6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</w:pPr>
            <w:r w:rsidRPr="00F92541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 xml:space="preserve">5) </w:t>
            </w:r>
            <w:r w:rsidR="00D97BF3">
              <w:rPr>
                <w:rFonts w:ascii="Arial" w:hAnsi="Arial" w:cs="Arial"/>
                <w:sz w:val="20"/>
                <w:szCs w:val="20"/>
                <w:lang w:val="sr-Cyrl-CS" w:eastAsia="sr-Latn-CS"/>
              </w:rPr>
              <w:t>P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rogram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obuke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za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vršenje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poslova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montaže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,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puštanja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u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rad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,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održavanja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sistema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tehničke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zaštite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i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obuke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 xml:space="preserve"> </w:t>
            </w:r>
            <w:r w:rsidR="00D97BF3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korisnika</w:t>
            </w:r>
            <w:r w:rsidRPr="00F92541">
              <w:rPr>
                <w:rFonts w:ascii="Arial" w:hAnsi="Arial" w:cs="Arial"/>
                <w:sz w:val="20"/>
                <w:szCs w:val="20"/>
                <w:lang w:val="sr-Cyrl-RS" w:eastAsia="sr-Latn-CS"/>
              </w:rPr>
              <w:t>.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</w:t>
            </w:r>
            <w:bookmarkStart w:id="21" w:name="RANGE_E12"/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</w:t>
            </w:r>
            <w:bookmarkEnd w:id="21"/>
          </w:p>
          <w:p w:rsidR="00760FF6" w:rsidRPr="00F92541" w:rsidRDefault="00760FF6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760FF6" w:rsidRPr="00F92541" w:rsidTr="00F92541">
        <w:trPr>
          <w:trHeight w:val="285"/>
          <w:jc w:val="center"/>
        </w:trPr>
        <w:tc>
          <w:tcPr>
            <w:tcW w:w="23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D97BF3" w:rsidP="0028097E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 w:eastAsia="sr-Latn-CS"/>
              </w:rPr>
              <w:t>Nivo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 w:eastAsia="sr-Latn-CS"/>
              </w:rPr>
              <w:t>obrazovanja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: </w:t>
            </w: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D97BF3" w:rsidP="0028097E">
            <w:pPr>
              <w:shd w:val="clear" w:color="auto" w:fill="FFFFFF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Vis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 w:eastAsia="sr-Latn-CS"/>
              </w:rPr>
              <w:t>o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760FF6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 </w:t>
            </w:r>
          </w:p>
        </w:tc>
      </w:tr>
      <w:tr w:rsidR="00760FF6" w:rsidRPr="00F92541" w:rsidTr="0028097E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760FF6" w:rsidP="0028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D97BF3" w:rsidP="0028097E">
            <w:pPr>
              <w:shd w:val="clear" w:color="auto" w:fill="FFFFFF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 w:eastAsia="sr-Latn-CS"/>
              </w:rPr>
              <w:t>Srednje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F6" w:rsidRPr="00F92541" w:rsidRDefault="00760FF6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      </w:t>
            </w:r>
          </w:p>
        </w:tc>
      </w:tr>
      <w:tr w:rsidR="00760FF6" w:rsidRPr="00F92541" w:rsidTr="0028097E">
        <w:trPr>
          <w:trHeight w:val="300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F92541" w:rsidRPr="00F92541" w:rsidRDefault="00F92541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 w:eastAsia="sr-Latn-CS"/>
              </w:rPr>
            </w:pPr>
          </w:p>
          <w:p w:rsidR="00760FF6" w:rsidRPr="00F92541" w:rsidRDefault="00D97BF3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Iz</w:t>
            </w:r>
            <w:r w:rsidR="00760FF6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v</w:t>
            </w:r>
            <w:r w:rsidR="00760FF6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p</w:t>
            </w:r>
            <w:r w:rsidR="00760FF6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dn</w:t>
            </w:r>
            <w:r w:rsidR="00760FF6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si</w:t>
            </w:r>
            <w:r w:rsidR="00760FF6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c</w:t>
            </w:r>
            <w:r w:rsidR="00760FF6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pri</w:t>
            </w:r>
            <w:r w:rsidR="00760FF6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v</w:t>
            </w:r>
            <w:r w:rsidR="00760FF6" w:rsidRPr="00F925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e</w:t>
            </w:r>
          </w:p>
        </w:tc>
      </w:tr>
      <w:tr w:rsidR="00760FF6" w:rsidRPr="00F92541" w:rsidTr="0028097E">
        <w:trPr>
          <w:trHeight w:val="570"/>
          <w:jc w:val="center"/>
        </w:trPr>
        <w:tc>
          <w:tcPr>
            <w:tcW w:w="5000" w:type="pct"/>
            <w:gridSpan w:val="4"/>
            <w:hideMark/>
          </w:tcPr>
          <w:p w:rsidR="00760FF6" w:rsidRPr="00F92541" w:rsidRDefault="00D97BF3" w:rsidP="0028097E">
            <w:pPr>
              <w:rPr>
                <w:rFonts w:ascii="Arial" w:hAnsi="Arial" w:cs="Arial"/>
                <w:sz w:val="20"/>
                <w:szCs w:val="20"/>
                <w:lang w:val="ru-RU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Saglasan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sam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da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se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podaci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koje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sam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dao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o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sebi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obrađuju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u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navedene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svrhe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i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da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se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čuvaju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u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skladu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sa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opštim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aktima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organizacije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i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propisima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o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zaštiti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podataka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o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ličnosti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  <w:t>.</w:t>
            </w:r>
          </w:p>
        </w:tc>
      </w:tr>
      <w:tr w:rsidR="00760FF6" w:rsidRPr="00F92541" w:rsidTr="0028097E">
        <w:trPr>
          <w:trHeight w:val="570"/>
          <w:jc w:val="center"/>
        </w:trPr>
        <w:tc>
          <w:tcPr>
            <w:tcW w:w="5000" w:type="pct"/>
            <w:gridSpan w:val="4"/>
          </w:tcPr>
          <w:p w:rsidR="00760FF6" w:rsidRPr="00F92541" w:rsidRDefault="00760FF6" w:rsidP="0028097E">
            <w:pPr>
              <w:rPr>
                <w:rFonts w:ascii="Arial" w:hAnsi="Arial" w:cs="Arial"/>
                <w:sz w:val="20"/>
                <w:szCs w:val="20"/>
                <w:lang w:val="ru-RU" w:eastAsia="sr-Latn-CS"/>
              </w:rPr>
            </w:pPr>
          </w:p>
        </w:tc>
      </w:tr>
      <w:tr w:rsidR="00760FF6" w:rsidRPr="00F92541" w:rsidTr="0028097E">
        <w:trPr>
          <w:trHeight w:val="285"/>
          <w:jc w:val="center"/>
        </w:trPr>
        <w:tc>
          <w:tcPr>
            <w:tcW w:w="2356" w:type="pct"/>
            <w:vAlign w:val="center"/>
          </w:tcPr>
          <w:p w:rsidR="00760FF6" w:rsidRPr="00F92541" w:rsidRDefault="00760FF6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</w:pPr>
          </w:p>
        </w:tc>
        <w:tc>
          <w:tcPr>
            <w:tcW w:w="559" w:type="pct"/>
            <w:vAlign w:val="center"/>
          </w:tcPr>
          <w:p w:rsidR="00760FF6" w:rsidRPr="00F92541" w:rsidRDefault="00760FF6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</w:pPr>
          </w:p>
        </w:tc>
        <w:tc>
          <w:tcPr>
            <w:tcW w:w="1540" w:type="pct"/>
            <w:vAlign w:val="center"/>
          </w:tcPr>
          <w:p w:rsidR="00760FF6" w:rsidRPr="00F92541" w:rsidRDefault="00760FF6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</w:pPr>
          </w:p>
        </w:tc>
        <w:tc>
          <w:tcPr>
            <w:tcW w:w="545" w:type="pct"/>
            <w:vAlign w:val="center"/>
          </w:tcPr>
          <w:p w:rsidR="00760FF6" w:rsidRPr="00F92541" w:rsidRDefault="00760FF6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sr-Latn-CS"/>
              </w:rPr>
            </w:pPr>
          </w:p>
        </w:tc>
      </w:tr>
      <w:tr w:rsidR="00760FF6" w:rsidRPr="00F92541" w:rsidTr="0028097E">
        <w:trPr>
          <w:trHeight w:val="285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760FF6" w:rsidRPr="00F92541" w:rsidRDefault="00D97BF3" w:rsidP="0028097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U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____________, 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          </w:t>
            </w:r>
          </w:p>
        </w:tc>
      </w:tr>
      <w:tr w:rsidR="00760FF6" w:rsidRPr="00F92541" w:rsidTr="0028097E">
        <w:trPr>
          <w:trHeight w:val="285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760FF6" w:rsidRPr="00F92541" w:rsidRDefault="00D97BF3" w:rsidP="0028097E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n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 __.__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Cyrl-RS" w:eastAsia="sr-Latn-CS"/>
              </w:rPr>
              <w:t xml:space="preserve"> .____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>___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g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din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e                                                                   </w:t>
            </w:r>
            <w:r w:rsidR="00760FF6" w:rsidRPr="00F92541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                                                                                                                    </w:t>
            </w:r>
          </w:p>
          <w:p w:rsidR="00760FF6" w:rsidRPr="00F92541" w:rsidRDefault="00760FF6" w:rsidP="0028097E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                                                                                                                            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dn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o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sil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c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pri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ja</w:t>
            </w:r>
            <w:r w:rsidR="00D97BF3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v</w:t>
            </w: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e</w:t>
            </w:r>
          </w:p>
        </w:tc>
      </w:tr>
      <w:tr w:rsidR="00760FF6" w:rsidRPr="00F92541" w:rsidTr="0028097E">
        <w:trPr>
          <w:trHeight w:val="285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760FF6" w:rsidRPr="00F92541" w:rsidRDefault="00760FF6" w:rsidP="0028097E">
            <w:pPr>
              <w:shd w:val="clear" w:color="auto" w:fill="FFFFFF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</w:pPr>
            <w:r w:rsidRPr="00F92541">
              <w:rPr>
                <w:rFonts w:ascii="Arial" w:hAnsi="Arial" w:cs="Arial"/>
                <w:color w:val="000000"/>
                <w:sz w:val="20"/>
                <w:szCs w:val="20"/>
                <w:lang w:val="sr-Latn-CS" w:eastAsia="sr-Latn-CS"/>
              </w:rPr>
              <w:t>______________________</w:t>
            </w:r>
          </w:p>
        </w:tc>
      </w:tr>
    </w:tbl>
    <w:p w:rsidR="00760FF6" w:rsidRDefault="00760FF6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p w:rsidR="00F92541" w:rsidRDefault="00F92541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p w:rsidR="00F92541" w:rsidRPr="00F92541" w:rsidRDefault="00D97BF3">
      <w:pPr>
        <w:spacing w:after="15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Obrazac</w:t>
      </w:r>
      <w:r w:rsidR="00F92541" w:rsidRPr="00F92541">
        <w:rPr>
          <w:rFonts w:ascii="Arial" w:hAnsi="Arial" w:cs="Arial"/>
          <w:b/>
          <w:sz w:val="20"/>
          <w:szCs w:val="20"/>
          <w:lang w:val="sr-Cyrl-RS"/>
        </w:rPr>
        <w:t xml:space="preserve"> 2.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 w:rsidR="00A02F37" w:rsidRPr="00F92541" w:rsidTr="0028097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Pr="00F92541" w:rsidRDefault="00F92541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D97BF3">
              <w:rPr>
                <w:rFonts w:ascii="Arial" w:hAnsi="Arial" w:cs="Arial"/>
                <w:sz w:val="20"/>
                <w:szCs w:val="20"/>
                <w:lang w:val="sr-Cyrl-CS"/>
              </w:rPr>
              <w:t>memorandum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="00D97BF3">
              <w:rPr>
                <w:rFonts w:ascii="Arial" w:hAnsi="Arial" w:cs="Arial"/>
                <w:sz w:val="20"/>
                <w:szCs w:val="20"/>
                <w:lang w:val="sr-Cyrl-CS"/>
              </w:rPr>
              <w:t>logo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</w:tc>
      </w:tr>
      <w:tr w:rsidR="00A02F37" w:rsidRPr="00F92541" w:rsidTr="0028097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Default="00A02F37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B96AE2" w:rsidRDefault="00B96AE2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B96AE2" w:rsidRPr="00B96AE2" w:rsidRDefault="00B96AE2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02F37" w:rsidRPr="00F92541" w:rsidTr="0028097E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Pr="00F92541" w:rsidRDefault="00A02F37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</w:t>
            </w:r>
            <w:r w:rsidR="00D97BF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Privredno</w:t>
            </w: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društvo</w:t>
            </w: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D97BF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preduzetnik</w:t>
            </w: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ili</w:t>
            </w: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školska</w:t>
            </w: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ustanova</w:t>
            </w: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sa</w:t>
            </w: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ovlašćenjem</w:t>
            </w: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sprovođenje</w:t>
            </w: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obuke</w:t>
            </w: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za</w:t>
            </w: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vršenje</w:t>
            </w: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poslova</w:t>
            </w: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privatnog</w:t>
            </w: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obezbeđenja</w:t>
            </w:r>
            <w:r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A02F37" w:rsidRPr="00F92541" w:rsidTr="0028097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Default="00A02F37" w:rsidP="002809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  <w:p w:rsidR="00B96AE2" w:rsidRPr="00B96AE2" w:rsidRDefault="00B96AE2" w:rsidP="002809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A02F37" w:rsidRPr="00F92541" w:rsidTr="0028097E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Pr="00F92541" w:rsidRDefault="00A02F37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02F37" w:rsidRPr="00F92541" w:rsidTr="0028097E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POTVRDA</w:t>
            </w:r>
            <w:r w:rsidR="00A02F37"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O</w:t>
            </w:r>
            <w:r w:rsidR="00A02F37"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OBUČENOSTI</w:t>
            </w:r>
          </w:p>
          <w:p w:rsidR="00B96AE2" w:rsidRDefault="00B96AE2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B96AE2" w:rsidRPr="00F92541" w:rsidRDefault="00B96AE2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2F37" w:rsidRPr="00F92541" w:rsidTr="0028097E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F37" w:rsidRPr="00F92541" w:rsidRDefault="00A02F37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54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_____________________________________________________</w:t>
            </w:r>
          </w:p>
        </w:tc>
      </w:tr>
      <w:tr w:rsidR="00A02F37" w:rsidRPr="00F92541" w:rsidTr="0028097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Pr="00F92541" w:rsidRDefault="00A02F37" w:rsidP="002809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541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>(</w:t>
            </w:r>
            <w:r w:rsidR="00D97BF3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>ime</w:t>
            </w:r>
            <w:r w:rsidRPr="00F92541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>i</w:t>
            </w:r>
            <w:r w:rsidRPr="00F92541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>prezime</w:t>
            </w:r>
            <w:r w:rsidRPr="00F92541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="00D97BF3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>polaznika</w:t>
            </w:r>
            <w:r w:rsidRPr="00F92541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>)</w:t>
            </w:r>
          </w:p>
        </w:tc>
      </w:tr>
      <w:tr w:rsidR="00A02F37" w:rsidRPr="00F92541" w:rsidTr="0028097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Default="00A02F37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B96AE2" w:rsidRPr="00B96AE2" w:rsidRDefault="00B96AE2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02F37" w:rsidRPr="00F92541" w:rsidTr="0028097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o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završenoj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</w:tc>
      </w:tr>
      <w:tr w:rsidR="00A02F37" w:rsidRPr="00F92541" w:rsidTr="0028097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Default="00A02F37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B96AE2" w:rsidRPr="00B96AE2" w:rsidRDefault="00B96AE2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02F37" w:rsidRPr="00F92541" w:rsidTr="0028097E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STRUČNOJ</w:t>
            </w:r>
            <w:r w:rsidR="00A02F37"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OBUCI</w:t>
            </w:r>
            <w:r w:rsidR="00A02F37" w:rsidRPr="00F9254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A02F37" w:rsidRPr="00F92541" w:rsidTr="0028097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u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periodu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od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_________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do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________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godine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A02F37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u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trajanju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od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__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č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o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</w:p>
          <w:p w:rsidR="00A02F37" w:rsidRDefault="00A02F37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96AE2" w:rsidRPr="00F92541" w:rsidRDefault="00B96AE2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02F37" w:rsidRPr="00F92541" w:rsidTr="0028097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Pr="00F92541" w:rsidRDefault="00A02F37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02F37" w:rsidRPr="00F92541" w:rsidTr="0028097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Pr="00F92541" w:rsidRDefault="00D97BF3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po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programu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obuke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za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vršenje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poslova</w:t>
            </w:r>
          </w:p>
        </w:tc>
      </w:tr>
      <w:tr w:rsidR="00A02F37" w:rsidRPr="00F92541" w:rsidTr="0028097E">
        <w:trPr>
          <w:trHeight w:val="4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Pr="00F92541" w:rsidRDefault="00A02F37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41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_____________________________________________________</w:t>
            </w:r>
          </w:p>
        </w:tc>
      </w:tr>
      <w:tr w:rsidR="00A02F37" w:rsidRPr="00F92541" w:rsidTr="0028097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Pr="00F92541" w:rsidRDefault="00A02F37" w:rsidP="0028097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54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D97BF3">
              <w:rPr>
                <w:rFonts w:ascii="Arial" w:hAnsi="Arial" w:cs="Arial"/>
                <w:i/>
                <w:iCs/>
                <w:sz w:val="20"/>
                <w:szCs w:val="20"/>
              </w:rPr>
              <w:t>naziv</w:t>
            </w:r>
            <w:r w:rsidRPr="00F925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  <w:r w:rsidRPr="00F925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97BF3">
              <w:rPr>
                <w:rFonts w:ascii="Arial" w:hAnsi="Arial" w:cs="Arial"/>
                <w:i/>
                <w:iCs/>
                <w:sz w:val="20"/>
                <w:szCs w:val="20"/>
              </w:rPr>
              <w:t>obuke</w:t>
            </w:r>
            <w:r w:rsidRPr="00F9254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A02F37" w:rsidRPr="00F92541" w:rsidTr="0028097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Pr="00F92541" w:rsidRDefault="00A02F37" w:rsidP="002809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A02F37" w:rsidRDefault="00A02F37" w:rsidP="002809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B96AE2" w:rsidRPr="00F92541" w:rsidRDefault="00B96AE2" w:rsidP="002809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A02F37" w:rsidRPr="00F92541" w:rsidRDefault="00D97BF3" w:rsidP="003765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02F37" w:rsidRPr="00F92541">
              <w:rPr>
                <w:rFonts w:ascii="Arial" w:hAnsi="Arial" w:cs="Arial"/>
                <w:sz w:val="20"/>
                <w:szCs w:val="20"/>
              </w:rPr>
              <w:t xml:space="preserve"> ______________, __.__.</w:t>
            </w:r>
            <w:r w:rsidR="003765C5" w:rsidRPr="00F92541">
              <w:rPr>
                <w:rFonts w:ascii="Arial" w:hAnsi="Arial" w:cs="Arial"/>
                <w:sz w:val="20"/>
                <w:szCs w:val="20"/>
                <w:lang w:val="sr-Cyrl-RS"/>
              </w:rPr>
              <w:t>___</w:t>
            </w:r>
            <w:r w:rsidR="00A02F37" w:rsidRPr="00F92541">
              <w:rPr>
                <w:rFonts w:ascii="Arial" w:hAnsi="Arial" w:cs="Arial"/>
                <w:sz w:val="20"/>
                <w:szCs w:val="20"/>
              </w:rPr>
              <w:t>__.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A02F37" w:rsidRPr="00F925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2F37" w:rsidRPr="00F92541" w:rsidTr="0028097E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Pr="00F92541" w:rsidRDefault="00D97BF3" w:rsidP="00280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Evidencioni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broj</w:t>
            </w:r>
            <w:r w:rsidR="00A02F37" w:rsidRPr="00F92541">
              <w:rPr>
                <w:rFonts w:ascii="Arial" w:hAnsi="Arial" w:cs="Arial"/>
                <w:sz w:val="20"/>
                <w:szCs w:val="20"/>
                <w:lang w:val="sr-Cyrl-CS"/>
              </w:rPr>
              <w:t>: _____/__</w:t>
            </w:r>
          </w:p>
        </w:tc>
      </w:tr>
      <w:tr w:rsidR="00A02F37" w:rsidRPr="00F92541" w:rsidTr="0028097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Pr="00F92541" w:rsidRDefault="00D97BF3" w:rsidP="002809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Odgovorno</w:t>
            </w:r>
            <w:r w:rsidR="00A02F37" w:rsidRPr="00F925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lice</w:t>
            </w:r>
          </w:p>
        </w:tc>
      </w:tr>
      <w:tr w:rsidR="00A02F37" w:rsidRPr="00F92541" w:rsidTr="0028097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Pr="00F92541" w:rsidRDefault="00A02F37" w:rsidP="002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41">
              <w:rPr>
                <w:rFonts w:ascii="Arial" w:hAnsi="Arial" w:cs="Arial"/>
                <w:sz w:val="20"/>
                <w:szCs w:val="20"/>
              </w:rPr>
              <w:t>(</w:t>
            </w:r>
            <w:r w:rsidR="00D97BF3">
              <w:rPr>
                <w:rFonts w:ascii="Arial" w:hAnsi="Arial" w:cs="Arial"/>
                <w:sz w:val="20"/>
                <w:szCs w:val="20"/>
              </w:rPr>
              <w:t>mp</w:t>
            </w:r>
            <w:r w:rsidRPr="00F925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02F37" w:rsidRPr="00F92541" w:rsidTr="0028097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F37" w:rsidRPr="00F92541" w:rsidRDefault="00A02F37" w:rsidP="002809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541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bookmarkEnd w:id="0"/>
    </w:tbl>
    <w:p w:rsidR="00FC2CDC" w:rsidRPr="00F92541" w:rsidRDefault="00FC2CDC" w:rsidP="00F92541">
      <w:pPr>
        <w:spacing w:after="150"/>
        <w:rPr>
          <w:rFonts w:ascii="Arial" w:hAnsi="Arial" w:cs="Arial"/>
          <w:sz w:val="20"/>
          <w:szCs w:val="20"/>
          <w:lang w:val="sr-Cyrl-RS"/>
        </w:rPr>
      </w:pPr>
    </w:p>
    <w:sectPr w:rsidR="00FC2CDC" w:rsidRPr="00F92541" w:rsidSect="0028097E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6BA"/>
    <w:multiLevelType w:val="multilevel"/>
    <w:tmpl w:val="0DCA3D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BB62AE"/>
    <w:multiLevelType w:val="multilevel"/>
    <w:tmpl w:val="0DCA3D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79080D"/>
    <w:multiLevelType w:val="hybridMultilevel"/>
    <w:tmpl w:val="33DC08DA"/>
    <w:lvl w:ilvl="0" w:tplc="BF361CEE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F366B"/>
    <w:multiLevelType w:val="multilevel"/>
    <w:tmpl w:val="CCA8D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0A6939"/>
    <w:multiLevelType w:val="multilevel"/>
    <w:tmpl w:val="0DCA3D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C45A66"/>
    <w:multiLevelType w:val="multilevel"/>
    <w:tmpl w:val="0DCA3D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635DC6"/>
    <w:multiLevelType w:val="multilevel"/>
    <w:tmpl w:val="E57E9244"/>
    <w:lvl w:ilvl="0">
      <w:start w:val="1"/>
      <w:numFmt w:val="decimal"/>
      <w:lvlText w:val="%10.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C09223E"/>
    <w:multiLevelType w:val="multilevel"/>
    <w:tmpl w:val="0DCA3D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DF1686"/>
    <w:multiLevelType w:val="multilevel"/>
    <w:tmpl w:val="0DCA3D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2B7781"/>
    <w:multiLevelType w:val="multilevel"/>
    <w:tmpl w:val="0DCA3D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2D"/>
    <w:rsid w:val="0028097E"/>
    <w:rsid w:val="00337E4B"/>
    <w:rsid w:val="003765C5"/>
    <w:rsid w:val="003B73C1"/>
    <w:rsid w:val="00436A6A"/>
    <w:rsid w:val="00466751"/>
    <w:rsid w:val="0056494C"/>
    <w:rsid w:val="00614EAC"/>
    <w:rsid w:val="00732C2D"/>
    <w:rsid w:val="00760FF6"/>
    <w:rsid w:val="00903D8E"/>
    <w:rsid w:val="00A02F37"/>
    <w:rsid w:val="00A47A9D"/>
    <w:rsid w:val="00AA700D"/>
    <w:rsid w:val="00AD0E28"/>
    <w:rsid w:val="00B04115"/>
    <w:rsid w:val="00B96AE2"/>
    <w:rsid w:val="00D10631"/>
    <w:rsid w:val="00D97BF3"/>
    <w:rsid w:val="00E523FE"/>
    <w:rsid w:val="00E6533B"/>
    <w:rsid w:val="00F25626"/>
    <w:rsid w:val="00F86A09"/>
    <w:rsid w:val="00F92541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34"/>
    <w:qFormat/>
    <w:rsid w:val="00E6533B"/>
    <w:pPr>
      <w:ind w:left="720"/>
    </w:pPr>
    <w:rPr>
      <w:rFonts w:ascii="Calibri" w:eastAsia="Times New Roman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809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34"/>
    <w:qFormat/>
    <w:rsid w:val="00E6533B"/>
    <w:pPr>
      <w:ind w:left="720"/>
    </w:pPr>
    <w:rPr>
      <w:rFonts w:ascii="Calibri" w:eastAsia="Times New Roman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80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Ignjatovic</dc:creator>
  <cp:lastModifiedBy>Beba Valcic</cp:lastModifiedBy>
  <cp:revision>2</cp:revision>
  <cp:lastPrinted>2019-03-15T09:42:00Z</cp:lastPrinted>
  <dcterms:created xsi:type="dcterms:W3CDTF">2019-03-15T09:43:00Z</dcterms:created>
  <dcterms:modified xsi:type="dcterms:W3CDTF">2019-03-15T09:43:00Z</dcterms:modified>
</cp:coreProperties>
</file>