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EC" w:rsidRDefault="002A14E5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CD50EC" w:rsidRDefault="002A14E5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CD50EC" w:rsidRDefault="002A14E5">
      <w:pPr>
        <w:spacing w:after="150"/>
      </w:pPr>
      <w:r>
        <w:rPr>
          <w:color w:val="000000"/>
        </w:rPr>
        <w:t> </w:t>
      </w:r>
    </w:p>
    <w:p w:rsidR="00CD50EC" w:rsidRDefault="002A14E5">
      <w:pPr>
        <w:spacing w:after="150"/>
      </w:pPr>
      <w:r>
        <w:rPr>
          <w:color w:val="000000"/>
        </w:rPr>
        <w:t> </w:t>
      </w:r>
    </w:p>
    <w:p w:rsidR="00CD50EC" w:rsidRDefault="002A14E5">
      <w:pPr>
        <w:spacing w:after="150"/>
      </w:pPr>
      <w:r>
        <w:rPr>
          <w:color w:val="000000"/>
        </w:rPr>
        <w:t xml:space="preserve">На основу члана 253.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Закона o безбедности саобраћаја на путевима („Службени гласник РС”, бр. 41/09, 53/10, </w:t>
      </w:r>
      <w:r>
        <w:rPr>
          <w:color w:val="000000"/>
        </w:rPr>
        <w:t>101/11, 32/13 – УС, 55/14, 96/15 – др. закон, 9/16 – УС, 24/18, 41/18, 41/18 – др. закон, 87/18 и 23/19),</w:t>
      </w:r>
    </w:p>
    <w:p w:rsidR="00CD50EC" w:rsidRDefault="002A14E5">
      <w:pPr>
        <w:spacing w:after="150"/>
      </w:pPr>
      <w:r>
        <w:rPr>
          <w:color w:val="000000"/>
        </w:rPr>
        <w:t>Министар унутрашњих послова доноси</w:t>
      </w:r>
    </w:p>
    <w:p w:rsidR="00CD50EC" w:rsidRDefault="002A14E5">
      <w:pPr>
        <w:spacing w:after="225"/>
        <w:jc w:val="center"/>
      </w:pPr>
      <w:r>
        <w:rPr>
          <w:b/>
          <w:color w:val="000000"/>
        </w:rPr>
        <w:t>ПРАВИЛНИК</w:t>
      </w:r>
    </w:p>
    <w:p w:rsidR="00CD50EC" w:rsidRDefault="002A14E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утискивању идентификационих ознака</w:t>
      </w:r>
    </w:p>
    <w:p w:rsidR="00CD50EC" w:rsidRDefault="002A14E5">
      <w:pPr>
        <w:spacing w:after="150"/>
        <w:jc w:val="center"/>
      </w:pPr>
      <w:r>
        <w:rPr>
          <w:color w:val="000000"/>
        </w:rPr>
        <w:t xml:space="preserve">"Службени гласник РС", бр. 11 од 7.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2020, 5 од 22.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2021.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Уводна одредба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1.</w:t>
      </w:r>
    </w:p>
    <w:p w:rsidR="00CD50EC" w:rsidRDefault="002A14E5">
      <w:pPr>
        <w:spacing w:after="150"/>
      </w:pPr>
      <w:r>
        <w:rPr>
          <w:color w:val="000000"/>
        </w:rPr>
        <w:t xml:space="preserve">Овим правилником уређују се ближи услови које морају да испуњавају овлашћена правна лица која утискују идентификационе ознаке на возилу, </w:t>
      </w:r>
      <w:proofErr w:type="gramStart"/>
      <w:r>
        <w:rPr>
          <w:color w:val="000000"/>
        </w:rPr>
        <w:t>односно</w:t>
      </w:r>
      <w:proofErr w:type="gramEnd"/>
      <w:r>
        <w:rPr>
          <w:color w:val="000000"/>
        </w:rPr>
        <w:t xml:space="preserve"> мотора и начин и поступак утискивања (у даљем тексту: утискивање).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Појмови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2.</w:t>
      </w:r>
    </w:p>
    <w:p w:rsidR="00CD50EC" w:rsidRDefault="002A14E5">
      <w:pPr>
        <w:spacing w:after="150"/>
      </w:pPr>
      <w:r>
        <w:rPr>
          <w:color w:val="000000"/>
        </w:rPr>
        <w:t>Поједини изрази употребљени у овом правилнику имају следеће значење за потребе овог правилника:</w:t>
      </w:r>
    </w:p>
    <w:p w:rsidR="00CD50EC" w:rsidRDefault="002A14E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i/>
          <w:color w:val="000000"/>
        </w:rPr>
        <w:t>идентификационе</w:t>
      </w:r>
      <w:proofErr w:type="gramEnd"/>
      <w:r>
        <w:rPr>
          <w:i/>
          <w:color w:val="000000"/>
        </w:rPr>
        <w:t xml:space="preserve"> ознаке на возилу</w:t>
      </w:r>
      <w:r>
        <w:rPr>
          <w:color w:val="000000"/>
        </w:rPr>
        <w:t xml:space="preserve"> су идентификациона ознака возила (VIN) и идентификациона ознака мотора (у даљем тексту: ИД ознаке);</w:t>
      </w:r>
    </w:p>
    <w:p w:rsidR="00CD50EC" w:rsidRDefault="002A14E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i/>
          <w:color w:val="000000"/>
        </w:rPr>
        <w:t>идентификациона</w:t>
      </w:r>
      <w:proofErr w:type="gramEnd"/>
      <w:r>
        <w:rPr>
          <w:i/>
          <w:color w:val="000000"/>
        </w:rPr>
        <w:t xml:space="preserve"> озна</w:t>
      </w:r>
      <w:r>
        <w:rPr>
          <w:i/>
          <w:color w:val="000000"/>
        </w:rPr>
        <w:t>ка возила</w:t>
      </w:r>
      <w:r>
        <w:rPr>
          <w:color w:val="000000"/>
        </w:rPr>
        <w:t xml:space="preserve"> (у даљем тексту: ИД ознака возила – VIN) je јединствен и недвосмислен алфанумерички код који произвођач додељује возилу како би осигурао одговарајућу идентификацију возила и који могу да чине арапске цифре од 0-9 и сва велика слова енглеског алфа</w:t>
      </w:r>
      <w:r>
        <w:rPr>
          <w:color w:val="000000"/>
        </w:rPr>
        <w:t>бета осим I, O и Q;</w:t>
      </w:r>
    </w:p>
    <w:p w:rsidR="00CD50EC" w:rsidRDefault="002A14E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i/>
          <w:color w:val="000000"/>
        </w:rPr>
        <w:t>идентификациона</w:t>
      </w:r>
      <w:proofErr w:type="gramEnd"/>
      <w:r>
        <w:rPr>
          <w:i/>
          <w:color w:val="000000"/>
        </w:rPr>
        <w:t xml:space="preserve"> ознака мотора</w:t>
      </w:r>
      <w:r>
        <w:rPr>
          <w:color w:val="000000"/>
        </w:rPr>
        <w:t xml:space="preserve"> (у даљем тексту: ИД ознака мотора) је ознака која је одређена низом слова и бројева којим произвођач јединствено означава мотор и на основу које се могу утврдити техничке карактеристике мотора (могу да ј</w:t>
      </w:r>
      <w:r>
        <w:rPr>
          <w:color w:val="000000"/>
        </w:rPr>
        <w:t>е чине арапске цифре од 0–9 и сва велика слова енглеског алфабета);</w:t>
      </w:r>
    </w:p>
    <w:p w:rsidR="00CD50EC" w:rsidRDefault="002A14E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i/>
          <w:color w:val="000000"/>
        </w:rPr>
        <w:t>типска</w:t>
      </w:r>
      <w:proofErr w:type="gramEnd"/>
      <w:r>
        <w:rPr>
          <w:i/>
          <w:color w:val="000000"/>
        </w:rPr>
        <w:t xml:space="preserve"> ознака мотора</w:t>
      </w:r>
      <w:r>
        <w:rPr>
          <w:color w:val="000000"/>
        </w:rPr>
        <w:t xml:space="preserve"> је саставни део ИД ознаке мотора који означава тип мотора, уграђеног у возило;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5) </w:t>
      </w:r>
      <w:proofErr w:type="gramStart"/>
      <w:r>
        <w:rPr>
          <w:i/>
          <w:color w:val="000000"/>
        </w:rPr>
        <w:t>утискивање</w:t>
      </w:r>
      <w:proofErr w:type="gramEnd"/>
      <w:r>
        <w:rPr>
          <w:color w:val="000000"/>
        </w:rPr>
        <w:t xml:space="preserve"> је поступак ласерског или механичког означавања – уписивања ИД ознака н</w:t>
      </w:r>
      <w:r>
        <w:rPr>
          <w:color w:val="000000"/>
        </w:rPr>
        <w:t>а возило, односно на мотор;</w:t>
      </w:r>
    </w:p>
    <w:p w:rsidR="00CD50EC" w:rsidRDefault="002A14E5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i/>
          <w:color w:val="000000"/>
        </w:rPr>
        <w:t>одговорно</w:t>
      </w:r>
      <w:proofErr w:type="gramEnd"/>
      <w:r>
        <w:rPr>
          <w:i/>
          <w:color w:val="000000"/>
        </w:rPr>
        <w:t xml:space="preserve"> лице за послове утискивања</w:t>
      </w:r>
      <w:r>
        <w:rPr>
          <w:color w:val="000000"/>
        </w:rPr>
        <w:t xml:space="preserve"> је лице које је у радном односу у правном лицу, које је одговарајућим актом правног лица одређено као одговорно да обезбеди да се утискивање врши на прописан начин и савесно, као и да обез</w:t>
      </w:r>
      <w:r>
        <w:rPr>
          <w:color w:val="000000"/>
        </w:rPr>
        <w:t>беди испуњеност осталих прописаних услова;</w:t>
      </w:r>
    </w:p>
    <w:p w:rsidR="00CD50EC" w:rsidRDefault="002A14E5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i/>
          <w:color w:val="000000"/>
        </w:rPr>
        <w:t>поништавање</w:t>
      </w:r>
      <w:proofErr w:type="gramEnd"/>
      <w:r>
        <w:rPr>
          <w:i/>
          <w:color w:val="000000"/>
        </w:rPr>
        <w:t xml:space="preserve"> ИД ознаке возила (VIN)</w:t>
      </w:r>
      <w:r>
        <w:rPr>
          <w:color w:val="000000"/>
        </w:rPr>
        <w:t xml:space="preserve"> је поступак утискивања знака „Х” механичким путем преко свих видљивих карактера постојеће ИД ознаке која је оштећена;</w:t>
      </w:r>
    </w:p>
    <w:p w:rsidR="00CD50EC" w:rsidRDefault="002A14E5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i/>
          <w:color w:val="000000"/>
        </w:rPr>
        <w:t>оштећена</w:t>
      </w:r>
      <w:proofErr w:type="gramEnd"/>
      <w:r>
        <w:rPr>
          <w:i/>
          <w:color w:val="000000"/>
        </w:rPr>
        <w:t xml:space="preserve"> ИД ознака</w:t>
      </w:r>
      <w:r>
        <w:rPr>
          <w:color w:val="000000"/>
        </w:rPr>
        <w:t xml:space="preserve"> је припадајућа, утиснута, ознака во</w:t>
      </w:r>
      <w:r>
        <w:rPr>
          <w:color w:val="000000"/>
        </w:rPr>
        <w:t>зила или мотора коју делимично или у целости није могуће очитати или је била предмет кривичног дела;</w:t>
      </w:r>
    </w:p>
    <w:p w:rsidR="00CD50EC" w:rsidRDefault="002A14E5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i/>
          <w:color w:val="000000"/>
        </w:rPr>
        <w:t>идентификација</w:t>
      </w:r>
      <w:proofErr w:type="gramEnd"/>
      <w:r>
        <w:rPr>
          <w:i/>
          <w:color w:val="000000"/>
        </w:rPr>
        <w:t xml:space="preserve"> возила</w:t>
      </w:r>
      <w:r>
        <w:rPr>
          <w:color w:val="000000"/>
        </w:rPr>
        <w:t xml:space="preserve"> је поступак недвосмисленог и поузданог утврђивања припадајуће ИД ознаке возила (VIN);</w:t>
      </w:r>
    </w:p>
    <w:p w:rsidR="00CD50EC" w:rsidRDefault="002A14E5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i/>
          <w:color w:val="000000"/>
        </w:rPr>
        <w:t>форензички</w:t>
      </w:r>
      <w:proofErr w:type="gramEnd"/>
      <w:r>
        <w:rPr>
          <w:i/>
          <w:color w:val="000000"/>
        </w:rPr>
        <w:t xml:space="preserve"> преглед</w:t>
      </w:r>
      <w:r>
        <w:rPr>
          <w:color w:val="000000"/>
        </w:rPr>
        <w:t xml:space="preserve"> је визуелни и неинваз</w:t>
      </w:r>
      <w:r>
        <w:rPr>
          <w:color w:val="000000"/>
        </w:rPr>
        <w:t>ивни преглед ИД ознаке који, по захтеву за утврђивање ИД ознаке, а у складу са овим правилником, врше полицијски службеници форензике Министарства унутрашњих послова (у даљем тексту: Министарство), у циљу утврђивања могућности очитавања њеног садржаја;</w:t>
      </w:r>
    </w:p>
    <w:p w:rsidR="00CD50EC" w:rsidRDefault="002A14E5">
      <w:pPr>
        <w:spacing w:after="150"/>
      </w:pPr>
      <w:r>
        <w:rPr>
          <w:color w:val="000000"/>
        </w:rPr>
        <w:t>11)</w:t>
      </w:r>
      <w:r>
        <w:rPr>
          <w:color w:val="000000"/>
        </w:rPr>
        <w:t xml:space="preserve"> </w:t>
      </w:r>
      <w:proofErr w:type="gramStart"/>
      <w:r>
        <w:rPr>
          <w:i/>
          <w:color w:val="000000"/>
        </w:rPr>
        <w:t>вештачење</w:t>
      </w:r>
      <w:proofErr w:type="gramEnd"/>
      <w:r>
        <w:rPr>
          <w:color w:val="000000"/>
        </w:rPr>
        <w:t xml:space="preserve"> је поступак идентификације возила којим се утврђује припадајућа ИД ознака возила (VIN). Вештачење могу вршити полицијски службеници Министарства на пословима вештачења или овлашћени судски вештак за област вештачења ИД ознака;</w:t>
      </w:r>
    </w:p>
    <w:p w:rsidR="00CD50EC" w:rsidRDefault="002A14E5">
      <w:pPr>
        <w:spacing w:after="150"/>
      </w:pPr>
      <w:r>
        <w:rPr>
          <w:color w:val="000000"/>
        </w:rPr>
        <w:t xml:space="preserve">12) </w:t>
      </w:r>
      <w:proofErr w:type="gramStart"/>
      <w:r>
        <w:rPr>
          <w:i/>
          <w:color w:val="000000"/>
        </w:rPr>
        <w:t>странка</w:t>
      </w:r>
      <w:proofErr w:type="gramEnd"/>
      <w:r>
        <w:rPr>
          <w:color w:val="000000"/>
        </w:rPr>
        <w:t xml:space="preserve"> је лице које подноси захтев и документа потребна за утврђивање ИД ознака. У случају подношења захтева за вештачење, странка мора бити власник возила или лице које је власник возила овластио.</w:t>
      </w:r>
    </w:p>
    <w:p w:rsidR="00CD50EC" w:rsidRDefault="002A14E5">
      <w:pPr>
        <w:spacing w:after="150"/>
      </w:pPr>
      <w:r>
        <w:rPr>
          <w:color w:val="000000"/>
        </w:rPr>
        <w:t xml:space="preserve">Изузетно од тач. 2)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3) овог члана, ИД ознакама се сматрају и о</w:t>
      </w:r>
      <w:r>
        <w:rPr>
          <w:color w:val="000000"/>
        </w:rPr>
        <w:t>знаке које су одређене и утиснуте на основу акта надлежног органа (нпр. тзв. „ПУС” ознака).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Услови за обављање послова утискивања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3.</w:t>
      </w:r>
    </w:p>
    <w:p w:rsidR="00CD50EC" w:rsidRDefault="002A14E5">
      <w:pPr>
        <w:spacing w:after="150"/>
      </w:pPr>
      <w:r>
        <w:rPr>
          <w:color w:val="000000"/>
        </w:rPr>
        <w:t>Утискивање може вршити правно лице које испуњава услове прописане овим правилником и које добије одговарајуће овлашћењ</w:t>
      </w:r>
      <w:r>
        <w:rPr>
          <w:color w:val="000000"/>
        </w:rPr>
        <w:t>е.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4.</w:t>
      </w:r>
    </w:p>
    <w:p w:rsidR="00CD50EC" w:rsidRDefault="002A14E5">
      <w:pPr>
        <w:spacing w:after="150"/>
      </w:pPr>
      <w:r>
        <w:rPr>
          <w:color w:val="000000"/>
        </w:rPr>
        <w:t>За обављање послова утискивања може се овластити правно лице које испуњава следеће услове: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1)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објекат по основу власништва или уговора о лизингу/закупу, у коме се налази простор за утискивање минималних димензија: дужине 8 m, ширине </w:t>
      </w:r>
      <w:r>
        <w:rPr>
          <w:color w:val="000000"/>
        </w:rPr>
        <w:t>4 m и висине 3 m;</w:t>
      </w:r>
    </w:p>
    <w:p w:rsidR="00CD50EC" w:rsidRDefault="002A14E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хоризонталну подлогу у објекту или поред објекта минималних димензија: дужине 10 m и ширине 4 m, која је изграђена од савременог коловозног застора и није део јавне површине (пут, тротоар или паркинг);</w:t>
      </w:r>
    </w:p>
    <w:p w:rsidR="00CD50EC" w:rsidRDefault="002A14E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администрат</w:t>
      </w:r>
      <w:r>
        <w:rPr>
          <w:color w:val="000000"/>
        </w:rPr>
        <w:t>ивну канцеларију;</w:t>
      </w:r>
    </w:p>
    <w:p w:rsidR="00CD50EC" w:rsidRDefault="002A14E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поседује по основу власништва или уговора о лизингу/закупу, за период важења овлашћења, потребну опрему и средства за обављање делатности, и то:</w:t>
      </w:r>
    </w:p>
    <w:p w:rsidR="00CD50EC" w:rsidRDefault="002A14E5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рачунарску</w:t>
      </w:r>
      <w:proofErr w:type="gramEnd"/>
      <w:r>
        <w:rPr>
          <w:color w:val="000000"/>
        </w:rPr>
        <w:t xml:space="preserve"> опрему за вођење евиденције утиснутих ИД ознака,</w:t>
      </w:r>
    </w:p>
    <w:p w:rsidR="00CD50EC" w:rsidRDefault="002A14E5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дигитални</w:t>
      </w:r>
      <w:proofErr w:type="gramEnd"/>
      <w:r>
        <w:rPr>
          <w:color w:val="000000"/>
        </w:rPr>
        <w:t xml:space="preserve"> фотоапара</w:t>
      </w:r>
      <w:r>
        <w:rPr>
          <w:color w:val="000000"/>
        </w:rPr>
        <w:t>т за документовање утискивања,</w:t>
      </w:r>
    </w:p>
    <w:p w:rsidR="00CD50EC" w:rsidRDefault="002A14E5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уређај</w:t>
      </w:r>
      <w:proofErr w:type="gramEnd"/>
      <w:r>
        <w:rPr>
          <w:color w:val="000000"/>
        </w:rPr>
        <w:t xml:space="preserve"> за ласерско утискивање трајне, неизбрисиве ознаке, следећих основних карактеристика: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је израђен у „Fiberˮ технологији;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има покретну ласерску „главуˮ, како би се могла поставити на возило (Portable Fiber L</w:t>
      </w:r>
      <w:r>
        <w:rPr>
          <w:color w:val="000000"/>
        </w:rPr>
        <w:t>aser Marking Machine);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дужина</w:t>
      </w:r>
      <w:proofErr w:type="gramEnd"/>
      <w:r>
        <w:rPr>
          <w:color w:val="000000"/>
        </w:rPr>
        <w:t xml:space="preserve"> водова, који омогућавају аутономију ласерске главе мора бити минимално 2 m;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димензије</w:t>
      </w:r>
      <w:proofErr w:type="gramEnd"/>
      <w:r>
        <w:rPr>
          <w:color w:val="000000"/>
        </w:rPr>
        <w:t xml:space="preserve"> радног поља, тј. </w:t>
      </w:r>
      <w:proofErr w:type="gramStart"/>
      <w:r>
        <w:rPr>
          <w:color w:val="000000"/>
        </w:rPr>
        <w:t>радне</w:t>
      </w:r>
      <w:proofErr w:type="gramEnd"/>
      <w:r>
        <w:rPr>
          <w:color w:val="000000"/>
        </w:rPr>
        <w:t xml:space="preserve"> површине коју уређај може исписати, без померања ласерске „главеˮ, мора бити минимално 110 x 110 mm;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излазна</w:t>
      </w:r>
      <w:proofErr w:type="gramEnd"/>
      <w:r>
        <w:rPr>
          <w:color w:val="000000"/>
        </w:rPr>
        <w:t xml:space="preserve"> сн</w:t>
      </w:r>
      <w:r>
        <w:rPr>
          <w:color w:val="000000"/>
        </w:rPr>
        <w:t>ага ласера је минимално 50 W;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уређај</w:t>
      </w:r>
      <w:proofErr w:type="gramEnd"/>
      <w:r>
        <w:rPr>
          <w:color w:val="000000"/>
        </w:rPr>
        <w:t xml:space="preserve"> мора бити прилагођен напајању дистрибутивног система у Републици Србији, тј.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напаја наизменичним напоном 220 V/50 Hz;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да</w:t>
      </w:r>
      <w:proofErr w:type="gramEnd"/>
      <w:r>
        <w:rPr>
          <w:color w:val="000000"/>
        </w:rPr>
        <w:t xml:space="preserve"> се уређајем управља помоћу компјутера (CNC), у смислу припремног процеса, тј. </w:t>
      </w:r>
      <w:proofErr w:type="gramStart"/>
      <w:r>
        <w:rPr>
          <w:color w:val="000000"/>
        </w:rPr>
        <w:t>форматирањ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садржаја исписа;</w:t>
      </w:r>
    </w:p>
    <w:p w:rsidR="00CD50EC" w:rsidRDefault="002A14E5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уређај мора постојати заступник и обезбеђен сервис на територији Републике Србије, за који је потребно имати потписан уговор о периодичној провери и одржавању према препорукама произвођача;</w:t>
      </w:r>
    </w:p>
    <w:p w:rsidR="00CD50EC" w:rsidRDefault="002A14E5">
      <w:pPr>
        <w:spacing w:after="150"/>
      </w:pPr>
      <w:r>
        <w:rPr>
          <w:color w:val="000000"/>
        </w:rPr>
        <w:t xml:space="preserve">(4) </w:t>
      </w:r>
      <w:proofErr w:type="gramStart"/>
      <w:r>
        <w:rPr>
          <w:color w:val="000000"/>
        </w:rPr>
        <w:t>сет</w:t>
      </w:r>
      <w:proofErr w:type="gramEnd"/>
      <w:r>
        <w:rPr>
          <w:color w:val="000000"/>
        </w:rPr>
        <w:t xml:space="preserve"> нумератора за механичко утискивање</w:t>
      </w:r>
      <w:r>
        <w:rPr>
          <w:color w:val="000000"/>
        </w:rPr>
        <w:t xml:space="preserve"> енглеског алфабета и арапских цифара (минималне висине карактера 6 mm за возила НДМ до 3,5 t и 10 mm за возила чија је НДМ преко 3,5 t);</w:t>
      </w:r>
    </w:p>
    <w:p w:rsidR="00CD50EC" w:rsidRDefault="002A14E5">
      <w:pPr>
        <w:spacing w:after="150"/>
      </w:pPr>
      <w:r>
        <w:rPr>
          <w:color w:val="000000"/>
        </w:rPr>
        <w:t xml:space="preserve">(5) </w:t>
      </w:r>
      <w:proofErr w:type="gramStart"/>
      <w:r>
        <w:rPr>
          <w:color w:val="000000"/>
        </w:rPr>
        <w:t>ситан</w:t>
      </w:r>
      <w:proofErr w:type="gramEnd"/>
      <w:r>
        <w:rPr>
          <w:color w:val="000000"/>
        </w:rPr>
        <w:t xml:space="preserve"> аутомеханичарски алат,</w:t>
      </w:r>
    </w:p>
    <w:p w:rsidR="00CD50EC" w:rsidRDefault="002A14E5">
      <w:pPr>
        <w:spacing w:after="150"/>
      </w:pPr>
      <w:r>
        <w:rPr>
          <w:b/>
          <w:color w:val="000000"/>
        </w:rPr>
        <w:t>5) да има запослено лице у сталном радном односу које има најмање основне академске и</w:t>
      </w:r>
      <w:r>
        <w:rPr>
          <w:b/>
          <w:color w:val="000000"/>
        </w:rPr>
        <w:t xml:space="preserve">ли основне струковне студије (180 ЕСПБ) из поља техничко-технолошких наука или из области правних наука, </w:t>
      </w:r>
      <w:r>
        <w:rPr>
          <w:b/>
          <w:color w:val="000000"/>
        </w:rPr>
        <w:lastRenderedPageBreak/>
        <w:t>које није под истрагом и које није осуђивано за кривична дела за која се гони по службеној дужности, а које ће, поред осталих послова, бити одговорно и</w:t>
      </w:r>
      <w:r>
        <w:rPr>
          <w:b/>
          <w:color w:val="000000"/>
        </w:rPr>
        <w:t xml:space="preserve"> за послове утискивања.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5.</w:t>
      </w:r>
    </w:p>
    <w:p w:rsidR="00CD50EC" w:rsidRDefault="002A14E5">
      <w:pPr>
        <w:spacing w:after="150"/>
      </w:pPr>
      <w:r>
        <w:rPr>
          <w:color w:val="000000"/>
        </w:rPr>
        <w:t>Захтев за добијање овлашћења за утискивање у писаној форми подноси се организационој јединици полиције надлежној за послове форензике у седишту Министарства. Уз захтев се, у складу са закон</w:t>
      </w:r>
      <w:r>
        <w:rPr>
          <w:color w:val="000000"/>
        </w:rPr>
        <w:t xml:space="preserve">ом којим се уређује општи управни поступак, прилажу оригинали или оверене фотокопије одговарајућих докумената којима се доказује испуњеност услова из члана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CD50EC" w:rsidRDefault="002A14E5">
      <w:pPr>
        <w:spacing w:after="150"/>
      </w:pPr>
      <w:r>
        <w:rPr>
          <w:color w:val="000000"/>
        </w:rPr>
        <w:t xml:space="preserve">Испуњеност услова за добијање овлашћења утврђује организациона јединица </w:t>
      </w:r>
      <w:r>
        <w:rPr>
          <w:color w:val="000000"/>
        </w:rPr>
        <w:t xml:space="preserve">Министарства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 основу приложених доказа и непосредног увида који се врши у пословном простору подносиоца захтева.</w:t>
      </w:r>
    </w:p>
    <w:p w:rsidR="00CD50EC" w:rsidRDefault="002A14E5">
      <w:pPr>
        <w:spacing w:after="150"/>
      </w:pPr>
      <w:r>
        <w:rPr>
          <w:color w:val="000000"/>
        </w:rPr>
        <w:t>Утискивање ИД ознака овлашћено правно лице врши у објекту за возила НДМ до 3,5t, а на подлози за возила НДМ преко 3,5</w:t>
      </w:r>
      <w:r>
        <w:rPr>
          <w:color w:val="000000"/>
        </w:rPr>
        <w:t>t.</w:t>
      </w:r>
    </w:p>
    <w:p w:rsidR="00CD50EC" w:rsidRDefault="002A14E5">
      <w:pPr>
        <w:spacing w:after="150"/>
      </w:pPr>
      <w:r>
        <w:rPr>
          <w:color w:val="000000"/>
        </w:rPr>
        <w:t>Изузетно, по захтеву странке, овлашћено правно лице може вршити утискивање и на локацији подносиоца захтева односно странке само за моторна и прикључна возила која не испуњавају прописане услове у погледу димензија, односно чија је највећа дозвољена мас</w:t>
      </w:r>
      <w:r>
        <w:rPr>
          <w:color w:val="000000"/>
        </w:rPr>
        <w:t>а већа од дозвољене, односно чије је осовинско оптерећење сопствене масе веће од дозвољеног оптерећења.</w:t>
      </w:r>
    </w:p>
    <w:p w:rsidR="00CD50EC" w:rsidRDefault="002A14E5">
      <w:pPr>
        <w:spacing w:after="150"/>
      </w:pPr>
      <w:r>
        <w:rPr>
          <w:color w:val="000000"/>
        </w:rPr>
        <w:t xml:space="preserve">Решења о испуњености услова за утискивање доноси организациона јединица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 </w:t>
      </w:r>
      <w:r>
        <w:rPr>
          <w:b/>
          <w:color w:val="000000"/>
        </w:rPr>
        <w:t>Саставни део решења о испуњености услова је и јединствен</w:t>
      </w:r>
      <w:r>
        <w:rPr>
          <w:b/>
          <w:color w:val="000000"/>
        </w:rPr>
        <w:t>и троцифрени нумерички код (у даљем тексту: јединствени код), који се додељује правном лицу ради ефикасног спровођења надзора над вршењем послова утискивања, уз упутство о начину и позицији његовог уписивања.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Ако у току важења издатог овлашћења наступе пр</w:t>
      </w:r>
      <w:r>
        <w:rPr>
          <w:color w:val="000000"/>
        </w:rPr>
        <w:t xml:space="preserve">омене у чињеничном стању из члана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на основу кога је утврђено да су испуњени услови за добијање тог овлашћења, правно лице без одлагања обавештава организациону јединицу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 променама које су наступиле.</w:t>
      </w:r>
    </w:p>
    <w:p w:rsidR="00CD50EC" w:rsidRDefault="002A14E5">
      <w:pPr>
        <w:spacing w:after="150"/>
      </w:pPr>
      <w:r>
        <w:rPr>
          <w:color w:val="000000"/>
        </w:rPr>
        <w:t>Надзор над ус</w:t>
      </w:r>
      <w:r>
        <w:rPr>
          <w:color w:val="000000"/>
        </w:rPr>
        <w:t xml:space="preserve">ловима које мора испуњавати овлашћено правно лице које утискују ИД ознаке, као и у погледу вршења послова утискивања на прописан и савестан начин врши организациона јединица Министарства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CD50EC" w:rsidRDefault="002A14E5">
      <w:pPr>
        <w:spacing w:after="150"/>
      </w:pPr>
      <w:r>
        <w:rPr>
          <w:color w:val="000000"/>
        </w:rPr>
        <w:t>Ако се приликом надзора утврди да правно лице</w:t>
      </w:r>
      <w:r>
        <w:rPr>
          <w:color w:val="000000"/>
        </w:rPr>
        <w:t xml:space="preserve"> не врши утискивање на прописан и савестан начин, односно да је престало да испуњава услове из </w:t>
      </w:r>
      <w:r>
        <w:rPr>
          <w:color w:val="000000"/>
        </w:rPr>
        <w:lastRenderedPageBreak/>
        <w:t xml:space="preserve">члана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организациона јединица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ће одузети овлашћење.</w:t>
      </w:r>
    </w:p>
    <w:p w:rsidR="00CD50EC" w:rsidRDefault="002A14E5">
      <w:pPr>
        <w:spacing w:after="150"/>
      </w:pPr>
      <w:r>
        <w:rPr>
          <w:color w:val="000000"/>
        </w:rPr>
        <w:t>О издатим и одузетим овлашћењима за утискивање организациона једини</w:t>
      </w:r>
      <w:r>
        <w:rPr>
          <w:color w:val="000000"/>
        </w:rPr>
        <w:t xml:space="preserve">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води посебну евиденцију.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Захтев за утврђивање ИД ознаке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6.</w:t>
      </w:r>
    </w:p>
    <w:p w:rsidR="00CD50EC" w:rsidRDefault="002A14E5">
      <w:pPr>
        <w:spacing w:after="150"/>
      </w:pPr>
      <w:r>
        <w:rPr>
          <w:b/>
          <w:color w:val="000000"/>
        </w:rPr>
        <w:t xml:space="preserve">Ако се у поступку испитивања возила утврди да је утиснута ИД ознака оштећена или исту није могуће очитати на месту фабрички </w:t>
      </w:r>
      <w:r>
        <w:rPr>
          <w:b/>
          <w:color w:val="000000"/>
        </w:rPr>
        <w:t>предвиђеном за њено утискивање, Агенција за безбедност саобраћаја (у даљем тексту: Агенција), односно правно лице овлашћено за испитивање возила од стране Агенције, ће издати извештај о испитивању возила, у складу са прописом који уређује испитивање возила</w:t>
      </w:r>
      <w:r>
        <w:rPr>
          <w:b/>
          <w:color w:val="000000"/>
        </w:rPr>
        <w:t>, где ће у НАПОМЕНИ констатовати да ИД ознака није утврђена и описати стање ИД ознаке.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b/>
          <w:color w:val="000000"/>
        </w:rPr>
        <w:t>„Ако се у поступку утврђивања испуњености услова за вршење техничког прегледа возила утврди да је утиснута ИД ознака оштећена или исту није могуће очитати на месту фабр</w:t>
      </w:r>
      <w:r>
        <w:rPr>
          <w:b/>
          <w:color w:val="000000"/>
        </w:rPr>
        <w:t>ички предвиђеном за њено утискивање, привредно друштво које је овлашћено за вршење техничког прегледа возила ће издати Извештај о ИД ознаци (Образац 1), са обавезно попуњеном рубриком „НАПОМЕНАˮ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b/>
          <w:color w:val="000000"/>
        </w:rPr>
        <w:t xml:space="preserve">Уз извештаје из ст. 1.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странци се издаје и </w:t>
      </w:r>
      <w:r>
        <w:rPr>
          <w:b/>
          <w:color w:val="000000"/>
        </w:rPr>
        <w:t>одштампана фотографија оштећене ИД ознаке на белом папиру А4 формата.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Странка на основу извештаја о ИД ознаци подноси Захтев за утврђивање ИД ознаке (Образац 2) надлежној подручној полицијској управи, односно полицијској станици, према месту пребивалишта,</w:t>
      </w:r>
      <w:r>
        <w:rPr>
          <w:color w:val="000000"/>
        </w:rPr>
        <w:t xml:space="preserve"> односно седишту власника возила.</w:t>
      </w:r>
    </w:p>
    <w:p w:rsidR="00CD50EC" w:rsidRDefault="002A14E5">
      <w:pPr>
        <w:spacing w:after="150"/>
      </w:pPr>
      <w:r>
        <w:rPr>
          <w:color w:val="000000"/>
        </w:rPr>
        <w:t xml:space="preserve">Уз захтев из става </w:t>
      </w:r>
      <w:r>
        <w:rPr>
          <w:b/>
          <w:color w:val="000000"/>
        </w:rPr>
        <w:t>4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 овог члана прилажу се: Извештај о ИД ознаци</w:t>
      </w:r>
      <w:r>
        <w:rPr>
          <w:b/>
          <w:color w:val="000000"/>
        </w:rPr>
        <w:t>, односно извештај о испитивању возила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доказ о плаћеној накнади за форензички преглед ИД ознаке чије се утврђивање захтева, у складу са актом којим се утв</w:t>
      </w:r>
      <w:r>
        <w:rPr>
          <w:color w:val="000000"/>
        </w:rPr>
        <w:t>рђују врсте услуга које пружа министарство надлежно за унутрашње послове, и одговарајући доказ о пореклу и власништву возила (нпр. очитана саобраћајна дозвола, уверење из службене евиденције возила, јединствена царинска исправа и др.).</w:t>
      </w:r>
    </w:p>
    <w:p w:rsidR="00CD50EC" w:rsidRDefault="002A14E5">
      <w:pPr>
        <w:spacing w:after="150"/>
      </w:pPr>
      <w:r>
        <w:rPr>
          <w:color w:val="000000"/>
        </w:rPr>
        <w:t>Изузетно, у оправдан</w:t>
      </w:r>
      <w:r>
        <w:rPr>
          <w:color w:val="000000"/>
        </w:rPr>
        <w:t>им случајевима, странка може захтев за форензички преглед предати другој организационој јединици Министарства у чијем су делокругу рада послови форензике, а која није у месту пребивалишта странке.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Обрасци 1 и 2 одштампани су уз овај правилник и чине његов </w:t>
      </w:r>
      <w:r>
        <w:rPr>
          <w:color w:val="000000"/>
        </w:rPr>
        <w:t>саставни део.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Форензички преглед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7.</w:t>
      </w:r>
    </w:p>
    <w:p w:rsidR="00CD50EC" w:rsidRDefault="002A14E5">
      <w:pPr>
        <w:spacing w:after="150"/>
      </w:pPr>
      <w:r>
        <w:rPr>
          <w:color w:val="000000"/>
        </w:rPr>
        <w:t>Форензички преглед врше полицијски службеници организационе јединице Министарства подручно надлежне за послове форензике.</w:t>
      </w:r>
    </w:p>
    <w:p w:rsidR="00CD50EC" w:rsidRDefault="002A14E5">
      <w:pPr>
        <w:spacing w:after="150"/>
      </w:pPr>
      <w:r>
        <w:rPr>
          <w:color w:val="000000"/>
        </w:rPr>
        <w:t xml:space="preserve">Приликом форензичког прегледа процењује се стање, тј. </w:t>
      </w:r>
      <w:proofErr w:type="gramStart"/>
      <w:r>
        <w:rPr>
          <w:color w:val="000000"/>
        </w:rPr>
        <w:t>могућ</w:t>
      </w:r>
      <w:r>
        <w:rPr>
          <w:color w:val="000000"/>
        </w:rPr>
        <w:t>ност</w:t>
      </w:r>
      <w:proofErr w:type="gramEnd"/>
      <w:r>
        <w:rPr>
          <w:color w:val="000000"/>
        </w:rPr>
        <w:t xml:space="preserve"> очитавања ИД ознака, односно да ли је потребно утискивање истих, о чему се издаје Потврда о извршеном форензичком прегледу (Образац 3) коју сачињава и потписује форензичар и руководилац организационе јединице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а оверава печатом.</w:t>
      </w:r>
    </w:p>
    <w:p w:rsidR="00CD50EC" w:rsidRDefault="002A14E5">
      <w:pPr>
        <w:spacing w:after="150"/>
      </w:pPr>
      <w:r>
        <w:rPr>
          <w:color w:val="000000"/>
        </w:rPr>
        <w:t xml:space="preserve">Потврда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се сачињава у четири примерка, од којих се три издају странци, а један задржава организациона јединица која је извршила форензички преглед.</w:t>
      </w:r>
    </w:p>
    <w:p w:rsidR="00CD50EC" w:rsidRDefault="002A14E5">
      <w:pPr>
        <w:spacing w:after="150"/>
      </w:pPr>
      <w:r>
        <w:rPr>
          <w:b/>
          <w:color w:val="000000"/>
        </w:rPr>
        <w:t>Ако је у потврди из става 2. овог члана назначено да утискивање није потребно, из ра</w:t>
      </w:r>
      <w:r>
        <w:rPr>
          <w:b/>
          <w:color w:val="000000"/>
        </w:rPr>
        <w:t>злога што је форензичким прегледом утврђено да су утиснуте ИД ознаке видљиве, возило/мотор се сматра идентификованим и, на основу те потврде, Агенција, односно правно лице овлашћено за испитивање возила у обавези је да упише ИД ознаку у уверење о испитивањ</w:t>
      </w:r>
      <w:r>
        <w:rPr>
          <w:b/>
          <w:color w:val="000000"/>
        </w:rPr>
        <w:t>у возила, односно привредно друштво које је овлашћено за вршење техничког прегледа возила у обавези је да упише ИД ознаку у регистрациони лист.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О извршеним форензичким прегледима води се евиденција.</w:t>
      </w:r>
    </w:p>
    <w:p w:rsidR="00CD50EC" w:rsidRDefault="002A14E5">
      <w:pPr>
        <w:spacing w:after="150"/>
      </w:pPr>
      <w:r>
        <w:rPr>
          <w:color w:val="000000"/>
        </w:rPr>
        <w:t>Изузетно, на захтев странке, ако руководилац организацио</w:t>
      </w:r>
      <w:r>
        <w:rPr>
          <w:color w:val="000000"/>
        </w:rPr>
        <w:t>не јединице форензике процени да је разлог оправдан, форензички преглед може бити извршен и изласком на терен.</w:t>
      </w:r>
    </w:p>
    <w:p w:rsidR="00CD50EC" w:rsidRDefault="002A14E5">
      <w:pPr>
        <w:spacing w:after="150"/>
      </w:pPr>
      <w:r>
        <w:rPr>
          <w:color w:val="000000"/>
        </w:rPr>
        <w:t>Образац 3 одштампан је уз овај правилник и чини његов саставни део.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8.</w:t>
      </w:r>
    </w:p>
    <w:p w:rsidR="00CD50EC" w:rsidRDefault="002A14E5">
      <w:pPr>
        <w:spacing w:after="150"/>
      </w:pPr>
      <w:r>
        <w:rPr>
          <w:color w:val="000000"/>
        </w:rPr>
        <w:t xml:space="preserve">Ако је у потврди из члана 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назначено да је потребно извршити утискивање, странка се упућује у овлашћено правно лице ради утискивања одговарајуће ИД ознаке.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9.</w:t>
      </w:r>
    </w:p>
    <w:p w:rsidR="00CD50EC" w:rsidRDefault="002A14E5">
      <w:pPr>
        <w:spacing w:after="150"/>
      </w:pPr>
      <w:r>
        <w:rPr>
          <w:color w:val="000000"/>
        </w:rPr>
        <w:t xml:space="preserve">Ако се приликом форензичког прегледа не утврди ИД ознака возила (VIN), на захтев странке и о трошку </w:t>
      </w:r>
      <w:r>
        <w:rPr>
          <w:color w:val="000000"/>
        </w:rPr>
        <w:t>исте, може се извршити вештачење, ради утврђивања идентитета возила, односно припадајуће ИД ознаке возила.</w:t>
      </w:r>
    </w:p>
    <w:p w:rsidR="00CD50EC" w:rsidRDefault="002A14E5">
      <w:pPr>
        <w:spacing w:after="150"/>
      </w:pPr>
      <w:r>
        <w:rPr>
          <w:color w:val="000000"/>
        </w:rPr>
        <w:t xml:space="preserve">Вештачење може бити извршено од стране Министарства или од стране вештака, чија је специјалност: „Вештачење/утврђивање ИД ознака на </w:t>
      </w:r>
      <w:r>
        <w:rPr>
          <w:color w:val="000000"/>
        </w:rPr>
        <w:lastRenderedPageBreak/>
        <w:t>возилимаˮ, уписан</w:t>
      </w:r>
      <w:r>
        <w:rPr>
          <w:color w:val="000000"/>
        </w:rPr>
        <w:t>ог у Регистар судских вештака министарства надлежног за послове правде.</w:t>
      </w:r>
    </w:p>
    <w:p w:rsidR="00CD50EC" w:rsidRDefault="002A14E5">
      <w:pPr>
        <w:spacing w:after="150"/>
      </w:pPr>
      <w:r>
        <w:rPr>
          <w:color w:val="000000"/>
        </w:rPr>
        <w:t>Ако се странка определи за вештачење од стране Министарства, захтев за вештачење у писаној форми подноси се организационој јединици која је извршила форензички преглед. Захтев за вешта</w:t>
      </w:r>
      <w:r>
        <w:rPr>
          <w:color w:val="000000"/>
        </w:rPr>
        <w:t xml:space="preserve">чење може поднети власник возила или лице које он посебно овласти за утврђивање припадајуће ИД ознаке возила. Уз захтев странка доставља доказ о уплати накнаде за потребно вештачење, у складу са актом којим се утврђују врсте услуга које пружа министарство </w:t>
      </w:r>
      <w:r>
        <w:rPr>
          <w:color w:val="000000"/>
        </w:rPr>
        <w:t>надлежно за унутрашње послове.</w:t>
      </w:r>
    </w:p>
    <w:p w:rsidR="00CD50EC" w:rsidRDefault="002A14E5">
      <w:pPr>
        <w:spacing w:after="150"/>
      </w:pPr>
      <w:r>
        <w:rPr>
          <w:color w:val="000000"/>
        </w:rPr>
        <w:t>Извештај о вештачењу доставља се организационој јединици која је извршила форензички преглед.</w:t>
      </w:r>
    </w:p>
    <w:p w:rsidR="00CD50EC" w:rsidRDefault="002A14E5">
      <w:pPr>
        <w:spacing w:after="150"/>
      </w:pPr>
      <w:r>
        <w:rPr>
          <w:color w:val="000000"/>
        </w:rPr>
        <w:t>Извештај о вештачењу који сачини вештак изабран из Регистра судских вештака, странка доставља организационој јединици која је изврш</w:t>
      </w:r>
      <w:r>
        <w:rPr>
          <w:color w:val="000000"/>
        </w:rPr>
        <w:t>ила форензички прегледу року од 45 дана од дана извршеног вештачења. Уз извештај о вештачењу мора бити приложено одговарајуће Решење о именовању вештака и које је издато од стране министарства надлежног за послове правде.</w:t>
      </w:r>
    </w:p>
    <w:p w:rsidR="00CD50EC" w:rsidRDefault="002A14E5">
      <w:pPr>
        <w:spacing w:after="150"/>
      </w:pPr>
      <w:r>
        <w:rPr>
          <w:color w:val="000000"/>
        </w:rPr>
        <w:t>Вештачење мора бити израђено по пр</w:t>
      </w:r>
      <w:r>
        <w:rPr>
          <w:color w:val="000000"/>
        </w:rPr>
        <w:t>авилима струке и у извештају о вештачењу је неопходно јасно, недвосмислено и неспорно презентовати и образложити на који начин је утврђен идентитет предметног возила.</w:t>
      </w:r>
    </w:p>
    <w:p w:rsidR="00CD50EC" w:rsidRDefault="002A14E5">
      <w:pPr>
        <w:spacing w:after="150"/>
      </w:pPr>
      <w:r>
        <w:rPr>
          <w:color w:val="000000"/>
        </w:rPr>
        <w:t>На основу извештаја о вештачењу, организациона јединица врши допуну првобитно издате потв</w:t>
      </w:r>
      <w:r>
        <w:rPr>
          <w:color w:val="000000"/>
        </w:rPr>
        <w:t>рде о извршеном форензичком прегледу.</w:t>
      </w:r>
    </w:p>
    <w:p w:rsidR="00CD50EC" w:rsidRDefault="002A14E5">
      <w:pPr>
        <w:spacing w:after="150"/>
      </w:pPr>
      <w:r>
        <w:rPr>
          <w:color w:val="000000"/>
        </w:rPr>
        <w:t xml:space="preserve">Накнадно допуњену потврду о извршеном форензичком прегледу потписују форензичар и руководилац организационе јединице из члана 7.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и оверавају печатом.</w:t>
      </w:r>
    </w:p>
    <w:p w:rsidR="00CD50EC" w:rsidRDefault="002A14E5">
      <w:pPr>
        <w:spacing w:after="150"/>
      </w:pPr>
      <w:r>
        <w:rPr>
          <w:b/>
          <w:color w:val="000000"/>
        </w:rPr>
        <w:t>Организациона јединица форензике којој је до</w:t>
      </w:r>
      <w:r>
        <w:rPr>
          <w:b/>
          <w:color w:val="000000"/>
        </w:rPr>
        <w:t xml:space="preserve">стављено вештачење од стране вештака из става 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уколико процени да вештачење није извршено у складу са ставом 6.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може иницирати контролно вештачење од стране Министарства. Контролно вештачење се врши без накнаде.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*Службени гласник</w:t>
      </w:r>
      <w:r>
        <w:rPr>
          <w:color w:val="000000"/>
        </w:rPr>
        <w:t xml:space="preserve"> РС, број 5/2021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10.</w:t>
      </w:r>
    </w:p>
    <w:p w:rsidR="00CD50EC" w:rsidRDefault="002A14E5">
      <w:pPr>
        <w:spacing w:after="150"/>
      </w:pPr>
      <w:r>
        <w:rPr>
          <w:color w:val="000000"/>
        </w:rPr>
        <w:t xml:space="preserve">Ако форензичким прегледом није могуће у потпуности утврдити ИД ознаку мотора, али је утврђена типска ознака мотора, у Потврди о извршеном форензичком прегледу ће бити наведено да је потребно утиснути нову ИД ознаку мотора која се </w:t>
      </w:r>
      <w:r>
        <w:rPr>
          <w:color w:val="000000"/>
        </w:rPr>
        <w:t>састоји од типске ознаке мотора и последњих седам карактера из ИД ознаке возила (VIN). Ако ИД ознака предметног возила садржи мање од седам карактера, на типску ознаку се додаје онолико карактера колико ИД ознака возила садржи.</w:t>
      </w:r>
    </w:p>
    <w:p w:rsidR="00CD50EC" w:rsidRDefault="002A14E5">
      <w:pPr>
        <w:spacing w:after="150"/>
      </w:pPr>
      <w:r>
        <w:rPr>
          <w:color w:val="000000"/>
        </w:rPr>
        <w:lastRenderedPageBreak/>
        <w:t>Ако приликом форензичког пре</w:t>
      </w:r>
      <w:r>
        <w:rPr>
          <w:color w:val="000000"/>
        </w:rPr>
        <w:t>гледа није могуће у потпуности утврдити ИД ознаку мотора, нити се прегледом може установити типски део ознаке, странка је у обавези да прибави потврду одговарајућег привредног субјекта–сервиса, овлашћеног или специјализованог за одржавање предметне марке в</w:t>
      </w:r>
      <w:r>
        <w:rPr>
          <w:color w:val="000000"/>
        </w:rPr>
        <w:t>озила у Републици Србији, који ће на основу непосредног увида у возило издати извештај о типској ознаци мотора који се налази у предметном возилу.</w:t>
      </w:r>
    </w:p>
    <w:p w:rsidR="00CD50EC" w:rsidRDefault="002A14E5">
      <w:pPr>
        <w:spacing w:after="150"/>
      </w:pPr>
      <w:r>
        <w:rPr>
          <w:color w:val="000000"/>
        </w:rPr>
        <w:t xml:space="preserve">На основу извештаја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којим је дефинисана типска ознака мотора, организациона јединица ф</w:t>
      </w:r>
      <w:r>
        <w:rPr>
          <w:color w:val="000000"/>
        </w:rPr>
        <w:t>орензике ће у Потврди о извршеном форензичком прегледу навести да је потребно утиснути нову ИД ознаку мотора која се састоји од коначно утврђене типске ознаке мотора и последњих седам карактера ИД ознаке возила (VIN) која ће се утиснути на мотор. Ако ИД оз</w:t>
      </w:r>
      <w:r>
        <w:rPr>
          <w:color w:val="000000"/>
        </w:rPr>
        <w:t>нака предметног возила садржи мање од седам карактера, на типску ознаку се додаје онолико карактера колико ИД ознака возила садржи.</w:t>
      </w:r>
    </w:p>
    <w:p w:rsidR="00CD50EC" w:rsidRDefault="002A14E5">
      <w:pPr>
        <w:spacing w:after="150"/>
      </w:pPr>
      <w:r>
        <w:rPr>
          <w:color w:val="000000"/>
        </w:rPr>
        <w:t xml:space="preserve">Ако извештајем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није установљена типска ознака, издаје се Потврда о извршеном форензичком прегледу у к</w:t>
      </w:r>
      <w:r>
        <w:rPr>
          <w:color w:val="000000"/>
        </w:rPr>
        <w:t>ојој се констатује да ИД ознака мотора није утврђена.</w:t>
      </w:r>
    </w:p>
    <w:p w:rsidR="00CD50EC" w:rsidRDefault="002A14E5">
      <w:pPr>
        <w:spacing w:after="150"/>
      </w:pPr>
      <w:r>
        <w:rPr>
          <w:color w:val="000000"/>
        </w:rPr>
        <w:t>Ако странка предметну потврду не достави у року од 30 дана од дана подношења иницијалног захтева, сматра се да је одустала од захтева, без права на повраћај средстава.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Утискивање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11.</w:t>
      </w:r>
    </w:p>
    <w:p w:rsidR="00CD50EC" w:rsidRDefault="002A14E5">
      <w:pPr>
        <w:spacing w:after="150"/>
      </w:pPr>
      <w:r>
        <w:rPr>
          <w:color w:val="000000"/>
        </w:rPr>
        <w:t xml:space="preserve">На основу </w:t>
      </w:r>
      <w:r>
        <w:rPr>
          <w:color w:val="000000"/>
        </w:rPr>
        <w:t>потврде о извршеном форензичком прегледу којом је констатовано да је потребно утискивање овлашћено правно лице утискује ИД ознаку возила (VIN) и/или ИД ознаку мотора.</w:t>
      </w:r>
    </w:p>
    <w:p w:rsidR="00CD50EC" w:rsidRDefault="002A14E5">
      <w:pPr>
        <w:spacing w:after="150"/>
      </w:pPr>
      <w:r>
        <w:rPr>
          <w:color w:val="000000"/>
        </w:rPr>
        <w:t>Пре утискивања нове ИД ознаке возила (VIN) врши се поништавање постојеће ИД ознаке возила</w:t>
      </w:r>
      <w:r>
        <w:rPr>
          <w:color w:val="000000"/>
        </w:rPr>
        <w:t xml:space="preserve"> (VIN).</w:t>
      </w:r>
    </w:p>
    <w:p w:rsidR="00CD50EC" w:rsidRDefault="002A14E5">
      <w:pPr>
        <w:spacing w:after="150"/>
      </w:pPr>
      <w:r>
        <w:rPr>
          <w:b/>
          <w:color w:val="000000"/>
        </w:rPr>
        <w:t>Утискивање ИД ознаке возила (VIN) врши се уређајем за ласерско уписивање ознака.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>ИД ознака возила (VIN) се утискује на равној подлози, непосредно поред постојеће (оштећене) ИД ознаке возила (VIN), ако је условно. ИД ознака возила (VIN) се утискује</w:t>
      </w:r>
      <w:r>
        <w:rPr>
          <w:color w:val="000000"/>
        </w:rPr>
        <w:t xml:space="preserve"> равномерно, у низу и без размака, у једном или два реда у зависности од броја карактера исте или услед техничких или просторних ограничења.</w:t>
      </w:r>
    </w:p>
    <w:p w:rsidR="00CD50EC" w:rsidRDefault="002A14E5">
      <w:pPr>
        <w:spacing w:after="150"/>
      </w:pPr>
      <w:r>
        <w:rPr>
          <w:color w:val="000000"/>
        </w:rPr>
        <w:t>ИД ознака возила (VIN) може се утиснути и на погодном делу возила, који се не може одвојити од каросерије возила бе</w:t>
      </w:r>
      <w:r>
        <w:rPr>
          <w:color w:val="000000"/>
        </w:rPr>
        <w:t xml:space="preserve">з разарања, на десној уздужној </w:t>
      </w:r>
      <w:r>
        <w:rPr>
          <w:b/>
          <w:color w:val="000000"/>
        </w:rPr>
        <w:t>страни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каросерије возила.</w:t>
      </w:r>
    </w:p>
    <w:p w:rsidR="00CD50EC" w:rsidRDefault="002A14E5">
      <w:pPr>
        <w:spacing w:after="150"/>
      </w:pPr>
      <w:r>
        <w:rPr>
          <w:color w:val="000000"/>
        </w:rPr>
        <w:t>Ако се ИД ознака возила утискује у два реда у првом реду мора бити садржано девет, а другом реду остатак карактера ознаке.</w:t>
      </w:r>
    </w:p>
    <w:p w:rsidR="00CD50EC" w:rsidRDefault="002A14E5">
      <w:pPr>
        <w:spacing w:after="150"/>
      </w:pPr>
      <w:r>
        <w:rPr>
          <w:color w:val="000000"/>
        </w:rPr>
        <w:lastRenderedPageBreak/>
        <w:t xml:space="preserve">ИД ознака мотора утискује се на кућиште коленастог вратила или цилиндарски </w:t>
      </w:r>
      <w:r>
        <w:rPr>
          <w:color w:val="000000"/>
        </w:rPr>
        <w:t>блок на равној подлози у низу и без размака, у једном реду, а изузетно у два реда, ако је могуће непосредно поред оштећене ознаке.</w:t>
      </w:r>
    </w:p>
    <w:p w:rsidR="00CD50EC" w:rsidRDefault="002A14E5">
      <w:pPr>
        <w:spacing w:after="150"/>
      </w:pPr>
      <w:r>
        <w:rPr>
          <w:color w:val="000000"/>
        </w:rPr>
        <w:t>ИД ознака мотора не може бити утиснута на уљно корито (поклопац картера) као ни на главу мотора.</w:t>
      </w:r>
    </w:p>
    <w:p w:rsidR="00CD50EC" w:rsidRDefault="002A14E5">
      <w:pPr>
        <w:spacing w:after="150"/>
      </w:pPr>
      <w:r>
        <w:rPr>
          <w:color w:val="000000"/>
        </w:rPr>
        <w:t>Поступак утискивања ИД ознак</w:t>
      </w:r>
      <w:r>
        <w:rPr>
          <w:color w:val="000000"/>
        </w:rPr>
        <w:t>а обавезно је документовати са најмање три дигиталне фотографије пре утискивања и три дигиталне фотографије након поступка утискивања, на којима ће се јасно видети возило и детаљи на основу којих се може извршити визуелна идентификација возила.</w:t>
      </w:r>
    </w:p>
    <w:p w:rsidR="00CD50EC" w:rsidRDefault="002A14E5">
      <w:pPr>
        <w:spacing w:after="150"/>
      </w:pPr>
      <w:r>
        <w:rPr>
          <w:color w:val="000000"/>
        </w:rPr>
        <w:t>Овлашћено п</w:t>
      </w:r>
      <w:r>
        <w:rPr>
          <w:color w:val="000000"/>
        </w:rPr>
        <w:t>равно лице странци издаје Потврду о извршеном утискивању (Образац 4). Потврда се сачињава у четири истоветна примерка, од којих један задржава овлашћено правно лице, а три примерка се уручују странки.</w:t>
      </w:r>
    </w:p>
    <w:p w:rsidR="00CD50EC" w:rsidRDefault="002A14E5">
      <w:pPr>
        <w:spacing w:after="150"/>
      </w:pPr>
      <w:r>
        <w:rPr>
          <w:color w:val="000000"/>
        </w:rPr>
        <w:t xml:space="preserve">Након утискивања, странка се обраћа привредном друштву </w:t>
      </w:r>
      <w:r>
        <w:rPr>
          <w:color w:val="000000"/>
        </w:rPr>
        <w:t>које је овлашћено за вршење техничког прегледа, које је у обавези да на основу потврде о извршеном утискивању исту упише у регистрациони лист.</w:t>
      </w:r>
    </w:p>
    <w:p w:rsidR="00CD50EC" w:rsidRDefault="002A14E5">
      <w:pPr>
        <w:spacing w:after="150"/>
      </w:pPr>
      <w:r>
        <w:rPr>
          <w:color w:val="000000"/>
        </w:rPr>
        <w:t>Образац 4 одштампан је уз овај правилник и чини његов саставни део.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50"/>
      </w:pPr>
      <w:r>
        <w:rPr>
          <w:i/>
          <w:color w:val="000000"/>
        </w:rPr>
        <w:t>НАПОМЕНА ИЗ</w:t>
      </w:r>
      <w:r>
        <w:rPr>
          <w:i/>
          <w:color w:val="000000"/>
        </w:rPr>
        <w:t xml:space="preserve">ДАВАЧА: Чланом 6. Правилника о изменама и допунама Правилника о утискивању идентификационих ознака ("Службени гласник РС", број 5/2021) предвиђено је да се у члану 11. </w:t>
      </w:r>
      <w:proofErr w:type="gramStart"/>
      <w:r>
        <w:rPr>
          <w:i/>
          <w:color w:val="000000"/>
        </w:rPr>
        <w:t>став</w:t>
      </w:r>
      <w:proofErr w:type="gramEnd"/>
      <w:r>
        <w:rPr>
          <w:i/>
          <w:color w:val="000000"/>
        </w:rPr>
        <w:t xml:space="preserve"> 7. Правилника после речи: „може сеˮ додају запета и речи: „механички</w:t>
      </w:r>
      <w:proofErr w:type="gramStart"/>
      <w:r>
        <w:rPr>
          <w:i/>
          <w:color w:val="000000"/>
        </w:rPr>
        <w:t>,ˮ</w:t>
      </w:r>
      <w:proofErr w:type="gramEnd"/>
      <w:r>
        <w:rPr>
          <w:i/>
          <w:color w:val="000000"/>
        </w:rPr>
        <w:t>. Будући да у</w:t>
      </w:r>
      <w:r>
        <w:rPr>
          <w:i/>
          <w:color w:val="000000"/>
        </w:rPr>
        <w:t xml:space="preserve"> ставу 7. </w:t>
      </w:r>
      <w:proofErr w:type="gramStart"/>
      <w:r>
        <w:rPr>
          <w:i/>
          <w:color w:val="000000"/>
        </w:rPr>
        <w:t>члана</w:t>
      </w:r>
      <w:proofErr w:type="gramEnd"/>
      <w:r>
        <w:rPr>
          <w:i/>
          <w:color w:val="000000"/>
        </w:rPr>
        <w:t xml:space="preserve"> 11. Правилника недостају речи "може се" Редакција није била у могућности да спроведе наведену допуну (види члан 6. Правилника - 5/2021-48).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Изглед и садржај ИД ознака возила (VIN) и мотора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12.</w:t>
      </w:r>
    </w:p>
    <w:p w:rsidR="00CD50EC" w:rsidRDefault="002A14E5">
      <w:pPr>
        <w:spacing w:after="150"/>
      </w:pPr>
      <w:r>
        <w:rPr>
          <w:color w:val="000000"/>
        </w:rPr>
        <w:t xml:space="preserve">На возилу се утискује њему припадајућа ИД </w:t>
      </w:r>
      <w:r>
        <w:rPr>
          <w:color w:val="000000"/>
        </w:rPr>
        <w:t>ознака возила (VIN) која је утврђена форензичким прегледом или вештачењем</w:t>
      </w:r>
      <w:r>
        <w:rPr>
          <w:b/>
          <w:color w:val="000000"/>
        </w:rPr>
        <w:t>, као и јединствени код из решења о испуњености услова за утискивање.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 xml:space="preserve">На мотору се утискује ИД ознака мотора која је утврђена у складу са чланом 10.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</w:t>
      </w:r>
      <w:r>
        <w:rPr>
          <w:b/>
          <w:color w:val="000000"/>
        </w:rPr>
        <w:t xml:space="preserve">, као </w:t>
      </w:r>
      <w:r>
        <w:rPr>
          <w:b/>
          <w:color w:val="000000"/>
        </w:rPr>
        <w:t>и јединствени код из решења о испуњености услова за утискивање.</w:t>
      </w:r>
      <w:r>
        <w:rPr>
          <w:rFonts w:ascii="Calibri"/>
          <w:b/>
          <w:color w:val="000000"/>
          <w:vertAlign w:val="superscript"/>
        </w:rPr>
        <w:t>*</w:t>
      </w:r>
    </w:p>
    <w:p w:rsidR="00CD50EC" w:rsidRDefault="002A14E5">
      <w:pPr>
        <w:spacing w:after="150"/>
      </w:pPr>
      <w:r>
        <w:rPr>
          <w:color w:val="000000"/>
        </w:rPr>
        <w:t xml:space="preserve">Карактери ИД ознаке возила (VIN) који се утискују ласером морају бити исписани фонтом „TEKTON PROˮ висине 6 mm за возила НДМ до 3,5 t и висине 10 mm за возила чија је НДМ преко 3,5 t. Дубина </w:t>
      </w:r>
      <w:r>
        <w:rPr>
          <w:color w:val="000000"/>
        </w:rPr>
        <w:t>утиснуте ИД ознаке мора бити најмање 0,3 mm.</w:t>
      </w:r>
    </w:p>
    <w:p w:rsidR="00CD50EC" w:rsidRDefault="002A14E5">
      <w:pPr>
        <w:spacing w:after="150"/>
      </w:pPr>
      <w:r>
        <w:rPr>
          <w:i/>
          <w:color w:val="000000"/>
        </w:rPr>
        <w:t>Брисан је ранији став 4. (</w:t>
      </w:r>
      <w:proofErr w:type="gramStart"/>
      <w:r>
        <w:rPr>
          <w:i/>
          <w:color w:val="000000"/>
        </w:rPr>
        <w:t>види</w:t>
      </w:r>
      <w:proofErr w:type="gramEnd"/>
      <w:r>
        <w:rPr>
          <w:i/>
          <w:color w:val="000000"/>
        </w:rPr>
        <w:t xml:space="preserve"> члан 7. Правилника 5/2021-48)</w:t>
      </w:r>
    </w:p>
    <w:p w:rsidR="00CD50EC" w:rsidRDefault="002A14E5">
      <w:pPr>
        <w:spacing w:after="150"/>
      </w:pPr>
      <w:r>
        <w:rPr>
          <w:color w:val="000000"/>
        </w:rPr>
        <w:lastRenderedPageBreak/>
        <w:t>Карактери ИД ознаке мотора утискују се искључиво механички и морају бити минималне величине 6 mm. Утиснута ИД ознака мотора мора бити минималне дубине</w:t>
      </w:r>
      <w:r>
        <w:rPr>
          <w:color w:val="000000"/>
        </w:rPr>
        <w:t xml:space="preserve"> 0.3 mm.</w:t>
      </w:r>
    </w:p>
    <w:p w:rsidR="00CD50EC" w:rsidRDefault="002A14E5">
      <w:pPr>
        <w:spacing w:after="150"/>
      </w:pPr>
      <w:r>
        <w:rPr>
          <w:color w:val="000000"/>
        </w:rPr>
        <w:t>*Службени гласник РС, број 5/2021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Евиденције које води овлашћено правно лице за утискивање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13.</w:t>
      </w:r>
    </w:p>
    <w:p w:rsidR="00CD50EC" w:rsidRDefault="002A14E5">
      <w:pPr>
        <w:spacing w:after="150"/>
      </w:pPr>
      <w:r>
        <w:rPr>
          <w:color w:val="000000"/>
        </w:rPr>
        <w:t>О извршеном утискивању овлашћено правно лице води евиденцију у виду регистра. Наведени регистар о утиснутим ИД ознакама се води у облику књиге са ч</w:t>
      </w:r>
      <w:r>
        <w:rPr>
          <w:color w:val="000000"/>
        </w:rPr>
        <w:t>врстим повезом и са нумерисаним странама, а садржај и изглед листова Регистра (Образац 5), одштампани су уз овај правилник и чине његов саставни део.</w:t>
      </w:r>
    </w:p>
    <w:p w:rsidR="00CD50EC" w:rsidRDefault="002A14E5">
      <w:pPr>
        <w:spacing w:after="150"/>
      </w:pPr>
      <w:r>
        <w:rPr>
          <w:color w:val="000000"/>
        </w:rPr>
        <w:t>Регистар о утиснутим ИД ознакама се чува трајно.</w:t>
      </w:r>
    </w:p>
    <w:p w:rsidR="00CD50EC" w:rsidRDefault="002A14E5">
      <w:pPr>
        <w:spacing w:after="150"/>
      </w:pPr>
      <w:r>
        <w:rPr>
          <w:color w:val="000000"/>
        </w:rPr>
        <w:t>Овлашћено правно лице води евиденцију Потврда о извршеном</w:t>
      </w:r>
      <w:r>
        <w:rPr>
          <w:color w:val="000000"/>
        </w:rPr>
        <w:t xml:space="preserve"> форензичком прегледу и Потврда о извршеном утискивању, које се чувају десет година.</w:t>
      </w:r>
    </w:p>
    <w:p w:rsidR="00CD50EC" w:rsidRDefault="002A14E5">
      <w:pPr>
        <w:spacing w:after="150"/>
      </w:pPr>
      <w:r>
        <w:rPr>
          <w:color w:val="000000"/>
        </w:rPr>
        <w:t>Дигиталне фотографије сачињене пре и након поступка утискивања чувају се у електронском облику, на екстерном диску одвојено од рачунара десет година.</w:t>
      </w:r>
    </w:p>
    <w:p w:rsidR="00CD50EC" w:rsidRDefault="002A14E5">
      <w:pPr>
        <w:spacing w:after="150"/>
      </w:pPr>
      <w:r>
        <w:rPr>
          <w:color w:val="000000"/>
        </w:rPr>
        <w:t>Када овлашћено правно</w:t>
      </w:r>
      <w:r>
        <w:rPr>
          <w:color w:val="000000"/>
        </w:rPr>
        <w:t xml:space="preserve"> лице престане да обавља послове утискивања, дужно је да евиденцију о утиснутим ИД ознакама преда територијално надлежној подручној полицијској управи, као и отисак сета нумератора за утискивање.</w:t>
      </w:r>
    </w:p>
    <w:p w:rsidR="00CD50EC" w:rsidRDefault="002A14E5">
      <w:pPr>
        <w:spacing w:after="150"/>
      </w:pPr>
      <w:r>
        <w:rPr>
          <w:color w:val="000000"/>
        </w:rPr>
        <w:t>Нумератори правног лица које је престало да обавља послове у</w:t>
      </w:r>
      <w:r>
        <w:rPr>
          <w:color w:val="000000"/>
        </w:rPr>
        <w:t>тискивања не смеју бити у употреби.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14.</w:t>
      </w:r>
    </w:p>
    <w:p w:rsidR="00CD50EC" w:rsidRDefault="002A14E5">
      <w:pPr>
        <w:spacing w:after="150"/>
      </w:pPr>
      <w:r>
        <w:rPr>
          <w:color w:val="000000"/>
        </w:rPr>
        <w:t>Податак да је утиснута ИД ознака (VIN и ИД ознака мотора), назив, адреса и матични број овлашћеног правног лица које је извршило утискивање, уписује се у јединствени регистар возила који води организациона једин</w:t>
      </w:r>
      <w:r>
        <w:rPr>
          <w:color w:val="000000"/>
        </w:rPr>
        <w:t>ица Министарства надлежна за послове регистрације возила.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Прелазне и завршне одредбе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15.</w:t>
      </w:r>
    </w:p>
    <w:p w:rsidR="00CD50EC" w:rsidRDefault="002A14E5">
      <w:pPr>
        <w:spacing w:after="150"/>
      </w:pPr>
      <w:r>
        <w:rPr>
          <w:color w:val="000000"/>
        </w:rPr>
        <w:t xml:space="preserve">Правна лица која су вршила утискивање на начин и према условима који су се примењивали до почетка примене Правилникa о утискивању идентификационих ознака </w:t>
      </w:r>
      <w:r>
        <w:rPr>
          <w:color w:val="000000"/>
        </w:rPr>
        <w:t>(„Службени гласник РСˮ, број 41/19), могу да наставе да врше утискивање, до добијања овлашћења у складу са одредбама овог правилника, а најкасније шест месеци од дана ступања на снагу овог правилника.</w:t>
      </w:r>
    </w:p>
    <w:p w:rsidR="00CD50EC" w:rsidRDefault="002A14E5">
      <w:pPr>
        <w:spacing w:after="150"/>
      </w:pPr>
      <w:r>
        <w:rPr>
          <w:color w:val="000000"/>
        </w:rPr>
        <w:t xml:space="preserve">Правна лица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обавези су да воде</w:t>
      </w:r>
      <w:r>
        <w:rPr>
          <w:color w:val="000000"/>
        </w:rPr>
        <w:t xml:space="preserve"> евиденцију из члана 13.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од дана његовог ступања на снагу.</w:t>
      </w:r>
    </w:p>
    <w:p w:rsidR="00CD50EC" w:rsidRDefault="002A14E5">
      <w:pPr>
        <w:spacing w:after="120"/>
        <w:jc w:val="center"/>
      </w:pPr>
      <w:r>
        <w:rPr>
          <w:color w:val="000000"/>
        </w:rPr>
        <w:lastRenderedPageBreak/>
        <w:t>Члан 16.</w:t>
      </w:r>
    </w:p>
    <w:p w:rsidR="00CD50EC" w:rsidRDefault="002A14E5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утискивању идентификационих ознака („Службени гласник РСˮ, број 41/19).</w:t>
      </w:r>
    </w:p>
    <w:p w:rsidR="00CD50EC" w:rsidRDefault="002A14E5">
      <w:pPr>
        <w:spacing w:after="120"/>
        <w:jc w:val="center"/>
      </w:pPr>
      <w:r>
        <w:rPr>
          <w:color w:val="000000"/>
        </w:rPr>
        <w:t>Члан 17.</w:t>
      </w:r>
    </w:p>
    <w:p w:rsidR="00CD50EC" w:rsidRDefault="002A14E5">
      <w:pPr>
        <w:spacing w:after="150"/>
      </w:pPr>
      <w:r>
        <w:rPr>
          <w:color w:val="000000"/>
        </w:rPr>
        <w:t>Овај правилник ступа на</w:t>
      </w:r>
      <w:r>
        <w:rPr>
          <w:color w:val="000000"/>
        </w:rPr>
        <w:t xml:space="preserve"> снагу наредног дана од дана објављивања у „Службеном гласнику Републике Србије”.</w:t>
      </w:r>
    </w:p>
    <w:p w:rsidR="00CD50EC" w:rsidRDefault="002A14E5">
      <w:pPr>
        <w:spacing w:after="150"/>
        <w:jc w:val="right"/>
      </w:pPr>
      <w:r>
        <w:rPr>
          <w:color w:val="000000"/>
        </w:rPr>
        <w:t>01 број 842/20-3</w:t>
      </w:r>
    </w:p>
    <w:p w:rsidR="00CD50EC" w:rsidRDefault="002A14E5">
      <w:pPr>
        <w:spacing w:after="150"/>
        <w:jc w:val="right"/>
      </w:pPr>
      <w:r>
        <w:rPr>
          <w:color w:val="000000"/>
        </w:rPr>
        <w:t xml:space="preserve">У Београду, 7.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CD50EC" w:rsidRDefault="002A14E5">
      <w:pPr>
        <w:spacing w:after="150"/>
        <w:jc w:val="right"/>
      </w:pPr>
      <w:r>
        <w:rPr>
          <w:color w:val="000000"/>
        </w:rPr>
        <w:t>Министар,</w:t>
      </w:r>
    </w:p>
    <w:p w:rsidR="00CD50EC" w:rsidRDefault="002A14E5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ОДРЕДБЕ КОЈЕ НИСУ УНЕТЕ У „ПРЕЧИШЋЕН ТЕКСТ</w:t>
      </w:r>
      <w:proofErr w:type="gramStart"/>
      <w:r>
        <w:rPr>
          <w:b/>
          <w:color w:val="000000"/>
        </w:rPr>
        <w:t>“ ПРАВИЛНИКА</w:t>
      </w:r>
      <w:proofErr w:type="gramEnd"/>
    </w:p>
    <w:p w:rsidR="00CD50EC" w:rsidRDefault="002A14E5">
      <w:pPr>
        <w:spacing w:after="150"/>
        <w:jc w:val="center"/>
      </w:pPr>
      <w:r>
        <w:rPr>
          <w:i/>
          <w:color w:val="000000"/>
        </w:rPr>
        <w:t>Правилник о изменама и допу</w:t>
      </w:r>
      <w:r>
        <w:rPr>
          <w:i/>
          <w:color w:val="000000"/>
        </w:rPr>
        <w:t xml:space="preserve">нама Правилника о утискивању идентификационих </w:t>
      </w:r>
      <w:proofErr w:type="gramStart"/>
      <w:r>
        <w:rPr>
          <w:i/>
          <w:color w:val="000000"/>
        </w:rPr>
        <w:t>ознака :</w:t>
      </w:r>
      <w:proofErr w:type="gramEnd"/>
      <w:r>
        <w:rPr>
          <w:i/>
          <w:color w:val="000000"/>
        </w:rPr>
        <w:t xml:space="preserve"> Службени гласник РС, број 5/2021-48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Члан 9.</w:t>
      </w:r>
    </w:p>
    <w:p w:rsidR="00CD50EC" w:rsidRDefault="002A14E5">
      <w:pPr>
        <w:spacing w:after="150"/>
      </w:pPr>
      <w:r>
        <w:rPr>
          <w:b/>
          <w:color w:val="000000"/>
        </w:rPr>
        <w:t>Правном лицу овлашћеном за обављање послова утискивања ће, у складу са одредбама овог правилника, бити додељен јединствени код, са упутством о начину и позиц</w:t>
      </w:r>
      <w:r>
        <w:rPr>
          <w:b/>
          <w:color w:val="000000"/>
        </w:rPr>
        <w:t>ији његовог уписивања, у року од шест месеци од дана ступања на снагу овог правилника.</w:t>
      </w:r>
    </w:p>
    <w:p w:rsidR="00CD50EC" w:rsidRDefault="002A14E5">
      <w:pPr>
        <w:spacing w:after="150"/>
      </w:pPr>
      <w:r>
        <w:rPr>
          <w:b/>
          <w:color w:val="000000"/>
        </w:rPr>
        <w:t xml:space="preserve">Правном лицу из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престаје да важи издато овлашћење уколико се најкасније у року од шест месеци од дана ступања на снагу овог правилника не усклади са </w:t>
      </w:r>
      <w:r>
        <w:rPr>
          <w:b/>
          <w:color w:val="000000"/>
        </w:rPr>
        <w:t>одредбама овог правилника.</w:t>
      </w:r>
    </w:p>
    <w:p w:rsidR="00CD50EC" w:rsidRDefault="002A14E5">
      <w:pPr>
        <w:spacing w:after="120"/>
        <w:jc w:val="center"/>
      </w:pPr>
      <w:r>
        <w:rPr>
          <w:b/>
          <w:color w:val="000000"/>
        </w:rPr>
        <w:t>Члан 10.</w:t>
      </w:r>
    </w:p>
    <w:p w:rsidR="00CD50EC" w:rsidRDefault="002A14E5">
      <w:pPr>
        <w:spacing w:after="150"/>
      </w:pPr>
      <w:r>
        <w:rPr>
          <w:b/>
          <w:color w:val="000000"/>
        </w:rPr>
        <w:t>Овај правилник ступа на снагу осмог дана од дана објављивања у „Службеном гласнику Републике Србијеˮ.</w:t>
      </w:r>
    </w:p>
    <w:p w:rsidR="00CD50EC" w:rsidRDefault="002A14E5">
      <w:pPr>
        <w:spacing w:after="120"/>
        <w:jc w:val="right"/>
      </w:pPr>
      <w:r>
        <w:rPr>
          <w:color w:val="000000"/>
        </w:rPr>
        <w:t>Прилози</w:t>
      </w:r>
    </w:p>
    <w:p w:rsidR="00CD50EC" w:rsidRDefault="002A14E5">
      <w:pPr>
        <w:spacing w:after="120"/>
      </w:pPr>
      <w:r>
        <w:rPr>
          <w:i/>
          <w:color w:val="000000"/>
        </w:rPr>
        <w:t>НАПОМЕНА ИЗДАВАЧА: Правилником о изменама и допунама</w:t>
      </w:r>
      <w:proofErr w:type="gramStart"/>
      <w:r>
        <w:rPr>
          <w:i/>
          <w:color w:val="000000"/>
        </w:rPr>
        <w:t>  Правилника</w:t>
      </w:r>
      <w:proofErr w:type="gramEnd"/>
      <w:r>
        <w:rPr>
          <w:i/>
          <w:color w:val="000000"/>
        </w:rPr>
        <w:t xml:space="preserve"> о утискивању идентификационих ознака ("Службе</w:t>
      </w:r>
      <w:r>
        <w:rPr>
          <w:i/>
          <w:color w:val="000000"/>
        </w:rPr>
        <w:t xml:space="preserve">ни гласник РС", број 5/2021) Oбразац 2. </w:t>
      </w:r>
      <w:proofErr w:type="gramStart"/>
      <w:r>
        <w:rPr>
          <w:i/>
          <w:color w:val="000000"/>
        </w:rPr>
        <w:t>замењен</w:t>
      </w:r>
      <w:proofErr w:type="gramEnd"/>
      <w:r>
        <w:rPr>
          <w:i/>
          <w:color w:val="000000"/>
        </w:rPr>
        <w:t xml:space="preserve"> је новим обрасцем (види члан 8. Правилника - 5/2021-48).</w:t>
      </w:r>
    </w:p>
    <w:p w:rsidR="00CD50EC" w:rsidRDefault="002A14E5">
      <w:pPr>
        <w:spacing w:after="150"/>
      </w:pPr>
      <w:hyperlink r:id="rId5">
        <w:r>
          <w:rPr>
            <w:rStyle w:val="Hyperlink"/>
            <w:color w:val="008000"/>
          </w:rPr>
          <w:t>Образац 1 - Изве</w:t>
        </w:r>
        <w:r>
          <w:rPr>
            <w:rStyle w:val="Hyperlink"/>
            <w:color w:val="008000"/>
          </w:rPr>
          <w:t>штај о ИД ознаци</w:t>
        </w:r>
      </w:hyperlink>
    </w:p>
    <w:p w:rsidR="00CD50EC" w:rsidRDefault="002A14E5">
      <w:pPr>
        <w:spacing w:after="150"/>
      </w:pPr>
      <w:hyperlink r:id="rId6">
        <w:r>
          <w:rPr>
            <w:rStyle w:val="Hyperlink"/>
            <w:color w:val="008000"/>
          </w:rPr>
          <w:t>Образац 2 - Захтев за утврђење</w:t>
        </w:r>
      </w:hyperlink>
    </w:p>
    <w:p w:rsidR="00CD50EC" w:rsidRDefault="002A14E5">
      <w:pPr>
        <w:spacing w:after="150"/>
      </w:pPr>
      <w:hyperlink r:id="rId7">
        <w:r>
          <w:rPr>
            <w:rStyle w:val="Hyperlink"/>
            <w:color w:val="008000"/>
          </w:rPr>
          <w:t>Образац 3 - Потврда о извршеном форензичком прегледу</w:t>
        </w:r>
      </w:hyperlink>
    </w:p>
    <w:p w:rsidR="00CD50EC" w:rsidRDefault="002A14E5">
      <w:pPr>
        <w:spacing w:after="150"/>
      </w:pPr>
      <w:hyperlink r:id="rId8">
        <w:r>
          <w:rPr>
            <w:rStyle w:val="Hyperlink"/>
            <w:color w:val="008000"/>
          </w:rPr>
          <w:t>Образа</w:t>
        </w:r>
        <w:r>
          <w:rPr>
            <w:rStyle w:val="Hyperlink"/>
            <w:color w:val="008000"/>
          </w:rPr>
          <w:t>ц 4 - Потврда о извршеном утискивању</w:t>
        </w:r>
      </w:hyperlink>
    </w:p>
    <w:p w:rsidR="00CD50EC" w:rsidRDefault="002A14E5">
      <w:pPr>
        <w:spacing w:after="150"/>
      </w:pPr>
      <w:hyperlink r:id="rId9">
        <w:r>
          <w:rPr>
            <w:rStyle w:val="Hyperlink"/>
            <w:color w:val="008000"/>
          </w:rPr>
          <w:t>Образац 5 - Регистар утиснутих идентификационих ознака које води правно лице</w:t>
        </w:r>
      </w:hyperlink>
    </w:p>
    <w:sectPr w:rsidR="00CD50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C"/>
    <w:rsid w:val="002A14E5"/>
    <w:rsid w:val="00C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A9DD-BF02-4C72-945B-FBF603C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4.html&amp;doctype=reg&amp;x-filename=true&amp;regactid=4315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3.html&amp;doctype=reg&amp;x-filename=true&amp;regactid=4315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2.html&amp;doctype=reg&amp;x-filename=true&amp;regactid=4315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no-informacioni-sistem.rs/SlGlasnikPortal/prilozi/1.html&amp;doctype=reg&amp;x-filename=true&amp;regactid=4315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5.html&amp;doctype=reg&amp;x-filename=true&amp;regactid=4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2022-10-11T11:34:00Z</dcterms:created>
  <dcterms:modified xsi:type="dcterms:W3CDTF">2022-10-11T11:34:00Z</dcterms:modified>
</cp:coreProperties>
</file>